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45" w:rsidRDefault="0009189B"/>
    <w:p w:rsidR="00013F67" w:rsidRDefault="00013F67"/>
    <w:p w:rsidR="00013F67" w:rsidRDefault="00013F67"/>
    <w:p w:rsidR="00013F67" w:rsidRDefault="00013F67"/>
    <w:p w:rsidR="00013F67" w:rsidRDefault="00013F67"/>
    <w:p w:rsidR="00013F67" w:rsidRDefault="00013F67"/>
    <w:p w:rsidR="00013F67" w:rsidRDefault="00013F67"/>
    <w:p w:rsidR="00013F67" w:rsidRDefault="00013F67"/>
    <w:p w:rsidR="00013F67" w:rsidRPr="00013F67" w:rsidRDefault="00013F67" w:rsidP="00013F67">
      <w:pPr>
        <w:jc w:val="center"/>
        <w:rPr>
          <w:b/>
        </w:rPr>
      </w:pPr>
      <w:r w:rsidRPr="00013F67">
        <w:rPr>
          <w:b/>
        </w:rPr>
        <w:t>ACUERDO POR EL QUE SE ESTABLECE EL SISTEMA DE CARRERA PROFESIONAL HORIZONTAL DEL PERSONAL DEL AYUNTAMIENTO DE____________________</w:t>
      </w:r>
    </w:p>
    <w:p w:rsidR="00013F67" w:rsidRDefault="00013F67" w:rsidP="00013F67"/>
    <w:p w:rsidR="00013F67" w:rsidRDefault="00013F67" w:rsidP="00013F67"/>
    <w:p w:rsidR="00013F67" w:rsidRDefault="00013F67" w:rsidP="00013F67">
      <w:pPr>
        <w:rPr>
          <w:b/>
        </w:rPr>
      </w:pPr>
      <w:r>
        <w:rPr>
          <w:b/>
        </w:rPr>
        <w:t>PREÁMBULO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Estatuto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Básico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Real Decreto legislativo 5/2015, de 30 de octubre, regula con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carácter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norma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básica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la carrera profesional del personal funcionario de carrera en su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título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III, titulado «Derechos y deberes.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Código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conducta de los empleados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», donde se contemplan un conjunto de elementos que permiten a cada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conformar su propio esquema de carrera haciendo predominar unos u otros aspectos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sus propios deseos o necesidades.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señala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el informe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comisión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expertos para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redacción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EBEP «un buen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diseño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carrera permite mejorar el rendimiento y la productividad del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y, en definitiva, la eficacia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ya que de las posibilidades de carrera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promoción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empleo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dependen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motivación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satisfacción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profesional de cada empleado e inclusive, en muchos casos, la permanencia misma en el empleo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».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aprobación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Ley 10/2010, de 9 de julio, de la Generalitat,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ordenación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gestión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función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valenciana, supuso el primer paso, necesario de otra parte dada la reserva de ley de la materia objeto del acuerdo, para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implantación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carrera profesional horizontal en las Administraciones incluidas en su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aplicación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citado texto legal, en su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título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VIII, regula uno de los aspectos que dotan de contenido al nuevo modelo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función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valenciana iniciado con la ley,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promoción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profesional del personal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que se concibe no solo como un derecho de este sino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también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como una necesidad estructural de cualquier sistema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organización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de la que no son ajenas las administraciones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valencianas y, por ello, elemento clave de cualquier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política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ordenación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texto no solo introduce las modalidades enunciadas en la normativa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básica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estatal, sino que las dota de contenido, dejando, no obstante, a las diferentes administraciones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Comunitat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Valenciana,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elección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idóneas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acuerdo con sus necesidades organizativas.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Como quiera que una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moderna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dinámica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debe partir de la premisa de que el principal activo con que cuenta para garantizar un funcionamiento eficaz y eficiente es el de su personal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y, por tanto, este está llamado a tener un papel fundamental para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consecución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citado mandato estatutario. Consecuencia de todo lo anteriormente expuesto, la presente normativa, ampliamente debatida con los representantes de los empleados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establece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implantación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regulación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carrera profesional horizontal del personal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al servicio del Excmo.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______________.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Pr="00D1197A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  <w:t>TÍTULO I</w:t>
      </w:r>
    </w:p>
    <w:p w:rsidR="00013F67" w:rsidRPr="00D1197A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  <w:t>Carrera profesional horizontal</w:t>
      </w:r>
    </w:p>
    <w:p w:rsidR="00013F67" w:rsidRPr="00D1197A" w:rsidRDefault="00013F67" w:rsidP="00013F6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CAPÍTULO I</w:t>
      </w: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br/>
        <w:t xml:space="preserve">Objeto y </w:t>
      </w:r>
      <w:proofErr w:type="spellStart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aplicación</w:t>
      </w:r>
      <w:proofErr w:type="spellEnd"/>
    </w:p>
    <w:p w:rsidR="00013F67" w:rsidRPr="00D1197A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1.- Derecho a la carrera profesional horizontal.</w:t>
      </w:r>
    </w:p>
    <w:p w:rsidR="00013F67" w:rsidRPr="00D1197A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 reconoce el derecho del personal funcionario y laboral del Ayuntamiento de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______________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 promocionar profesionalmente 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través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modalidad de carrera horizontal que se regula en el presente acuerdo, de conformidad con lo dispuesto en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artículos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16.3.a y 17 del Real Decreto Legislativo 5/2015, de 30 de octubre, por el que se aprueba el texto refundido de la Ley del Estatuto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Básico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y 117 de la Ley 10/2010, de 9 de julio, de la Generalitat,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Ordenación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Gestión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Función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Valenciana.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2.- Objeto y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aplicación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presente acuerdo tiene por objeto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regulación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sistema de carrera profesional horizontal del personal funcionario y laboral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______________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situación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servicio activo, 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excepción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los miembros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Corporación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del personal eventual.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3.- Derecho de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información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personal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______________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adherido al sistema de carrera profesional horizontal previsto en la presente normativa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tendra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derecho a conocer, en cualquier momento,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situación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su expediente y, en particular,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puntuación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cada uno de los elementos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facilitará dicho acceso, de conformidad con lo previsto en la normativa vigente. </w:t>
      </w:r>
    </w:p>
    <w:p w:rsidR="00013F67" w:rsidRPr="00D1197A" w:rsidRDefault="00013F67" w:rsidP="00013F6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CAPÍTULO II</w:t>
      </w: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br/>
      </w:r>
      <w:proofErr w:type="spellStart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Definición</w:t>
      </w:r>
      <w:proofErr w:type="spellEnd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 xml:space="preserve"> de la carrera profesional horizontal y acceso al sistema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4.-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Definición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 la carrera profesional horizontal.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La carrera profesional horizontal supone el reconocimiento individualizado del desarrollo profesional alcanzado por el personal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______________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sin necesidad de cambiar de puesto de trabajo, como consecuencia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su trayectoria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profesional y de los conocimientos adquiridos y transferidos.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Dicho reconocimiento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hara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efectivo 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través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cada uno de los cuerpos y agrupaciones profesionales, en la estructura de grados de desarrollo profesional establecido. Dicha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irreversible salvo por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aplicación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sanción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demérito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prevista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regulación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régimen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disciplinario que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provocar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pérdida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tramos ya alcanzados y/o una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suspensión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o cuando exista una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evaluación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negativa, en cuyo caso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también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produciría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una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paralización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la carrera.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5.- Grados de desarrollo profesional.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Se establece un sistema de carrera profesional horizontal con cuatro grados,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el grado de acceso que no conlleva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retribución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2. Los grados de desarrollo profesional (en adelante, GDP) que componen la carrera profesional horizontal son:</w:t>
      </w: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013F67" w:rsidRDefault="00013F67" w:rsidP="003A2159">
      <w:pPr>
        <w:spacing w:before="100" w:beforeAutospacing="1" w:after="100" w:afterAutospacing="1"/>
        <w:ind w:left="170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a) </w:t>
      </w:r>
      <w:r w:rsidR="003A2159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GDP de acceso.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</w:r>
      <w:proofErr w:type="gram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b) </w:t>
      </w:r>
      <w:r w:rsidR="003A2159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GDP</w:t>
      </w:r>
      <w:proofErr w:type="gram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I.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c) </w:t>
      </w:r>
      <w:r w:rsidR="003A2159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GDP II.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d) </w:t>
      </w:r>
      <w:r w:rsidR="003A2159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GDP III.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e) </w:t>
      </w:r>
      <w:r w:rsidR="003A2159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GDP IV.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6.- Derecho de acceso al sistema de carrera horizontal.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El derecho de acceso al sistema de carrera horizontal nace en el momento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adquisición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condición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 al servicio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______________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Dicho personal quedará adherido al sistema, de forma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automática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desde la toma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posesión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, siempre que no manifieste formalmente su renuncia.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La renuncia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efectuarse tanto antes como en cualquier momento posterior a la toma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posesión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 implicará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pérdida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permanente del GDP reconocido y los derechos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económicos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asociados al mismo desde el mes siguiente a la fecha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resolución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por la que se declare que se ha producido la renuncia.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7.- Acceso al sistema de carrera horizontal.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1. La carrera profesional horizontal se iniciará en el GDP de acceso.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No obstante lo dispuesto en el apartado anterior, el personal que a la entrada en vigor del presente acuerdo tenga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condición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 funcionario o personal laboral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accedera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́ al sistema en el GDP correspondiente, conforme a lo dispuesto en la disposiciones adicionales y transitorias.</w:t>
      </w:r>
    </w:p>
    <w:p w:rsidR="00013F67" w:rsidRDefault="00013F67" w:rsidP="00013F6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CAPÍTULO III</w:t>
      </w: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br/>
      </w:r>
      <w:proofErr w:type="spellStart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 xml:space="preserve"> en el sistema de carrera horizontal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br/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8.- Requisitos para la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en el sistema.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sistema de carrera horizontal se efectuará mediante el ascenso consecutivo a cada uno de los GDP previstos en la presente normativa.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Para solicitar el ascenso al GDP superior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requerira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un tiempo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ejercicio profesional, continuado o interrumpido, en el GDP inmediatamente inferior,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asi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como cumplir los requisitos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establecidos, en cada caso,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específica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que se requiere para acceder al concreto GDP,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el grupo o subgrupo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clasificación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profesional,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lo establecido en el presente acuerdo.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3. Los requisitos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deberán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obtenerse durante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período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tiempo comprendido entre el reconocimiento del GDP inmediatamente anterior y el que se pretende acceder.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4. 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ningún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caso,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valorarse o tenerse en cuenta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una vez los mismos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tiempos de ejercicio profesional para el acceso a diferentes grados de desarrollo profesional, ni para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otros cuerpos o agrupaciones profesionales funcionariales.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9.- Tiempo de permanencia necesario para solicitar el ascenso.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De acuerdo con lo dispuesto en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anterior,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requisito para que el personal pueda solicitar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establecidos para el GDP superior, acreditar el tiempo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 en el grado de desarrollo profesional inmediatamente inferior que, en cada caso, se establece 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continuación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: </w:t>
      </w: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013F67" w:rsidRDefault="00013F67" w:rsidP="003A2159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GDP I: 5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GDP de acceso. </w:t>
      </w:r>
    </w:p>
    <w:p w:rsidR="00013F67" w:rsidRPr="00D713F4" w:rsidRDefault="00013F67" w:rsidP="003A2159">
      <w:pPr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GDP II: 5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GDP I. </w:t>
      </w: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3.GDPIII:6añosenelGDPII.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4. GDP IV: 6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GDP III.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10.-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Cómputo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del tiempo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 permanencia.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Para computar el tiempo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tendra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en cuenta el tiempo 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situación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servicio activo, en puestos de trabajo adscritos al cuerpo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agrupación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profesional funcionarial o laboral correspondiente, por cualquiera de los sistemas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provisión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previstos normativamente.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En el caso de que durante el tiempo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 previsto en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anterior, la persona interesada haya estado 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situación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servicio activo en cuerpos o agrupaciones profesionales funcionariales pertenecientes a distintos grupos o subgrupos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titulación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el tiempo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 se computará de forma proporcional,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el grupo o subgrupo en el que haya estado en activo.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Para ello, se acumulará el tiempo trabajado previamente en puestos de trabajo de otro grupo o subgrupo,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multiplicándolo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por el factor que le corresponda,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el cuadro siguiente: </w:t>
      </w:r>
    </w:p>
    <w:tbl>
      <w:tblPr>
        <w:tblW w:w="0" w:type="auto"/>
        <w:jc w:val="center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525"/>
        <w:gridCol w:w="425"/>
        <w:gridCol w:w="567"/>
        <w:gridCol w:w="567"/>
        <w:gridCol w:w="850"/>
        <w:gridCol w:w="851"/>
        <w:gridCol w:w="849"/>
      </w:tblGrid>
      <w:tr w:rsidR="00013F67" w:rsidRPr="00D713F4" w:rsidTr="006F02C7">
        <w:trPr>
          <w:trHeight w:val="381"/>
          <w:jc w:val="center"/>
        </w:trPr>
        <w:tc>
          <w:tcPr>
            <w:tcW w:w="31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1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Grupos/Subgrupos anteriores</w:t>
            </w:r>
          </w:p>
        </w:tc>
      </w:tr>
      <w:tr w:rsidR="00013F67" w:rsidRPr="00D713F4" w:rsidTr="006F02C7">
        <w:trPr>
          <w:jc w:val="center"/>
        </w:trPr>
        <w:tc>
          <w:tcPr>
            <w:tcW w:w="31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B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C1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C2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APF</w:t>
            </w:r>
          </w:p>
        </w:tc>
      </w:tr>
      <w:tr w:rsidR="00013F67" w:rsidRPr="00D713F4" w:rsidTr="006F02C7">
        <w:trPr>
          <w:jc w:val="center"/>
        </w:trPr>
        <w:tc>
          <w:tcPr>
            <w:tcW w:w="2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Grupo/subgrupo actual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0,33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0,25</w:t>
            </w:r>
          </w:p>
        </w:tc>
      </w:tr>
      <w:tr w:rsidR="00013F67" w:rsidRPr="00D713F4" w:rsidTr="006F02C7">
        <w:trPr>
          <w:jc w:val="center"/>
        </w:trPr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0,51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0,38</w:t>
            </w:r>
          </w:p>
        </w:tc>
      </w:tr>
      <w:tr w:rsidR="00013F67" w:rsidRPr="00D713F4" w:rsidTr="006F02C7">
        <w:trPr>
          <w:jc w:val="center"/>
        </w:trPr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B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0,67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0,50</w:t>
            </w:r>
          </w:p>
        </w:tc>
      </w:tr>
      <w:tr w:rsidR="00013F67" w:rsidRPr="00D713F4" w:rsidTr="006F02C7">
        <w:trPr>
          <w:jc w:val="center"/>
        </w:trPr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C1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0,80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0,60</w:t>
            </w:r>
          </w:p>
        </w:tc>
      </w:tr>
      <w:tr w:rsidR="00013F67" w:rsidRPr="00D713F4" w:rsidTr="006F02C7">
        <w:trPr>
          <w:jc w:val="center"/>
        </w:trPr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C2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0,75</w:t>
            </w:r>
          </w:p>
        </w:tc>
      </w:tr>
      <w:tr w:rsidR="00013F67" w:rsidRPr="00D713F4" w:rsidTr="006F02C7">
        <w:trPr>
          <w:jc w:val="center"/>
        </w:trPr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:rsidR="00013F67" w:rsidRPr="00D713F4" w:rsidRDefault="00013F67" w:rsidP="006F02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APF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1</w:t>
            </w:r>
          </w:p>
        </w:tc>
      </w:tr>
    </w:tbl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El tiempo de servicios en puestos de trabajo adscritos a cuerpos diferentes al de pertenencia, mediante el sistema de mejora de empleo, se computará, en tanto permanezca con dicha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adscripción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cuerpo de destino y cuando se produzca el cese, en el cuerpo o grupo profesional de origen. La persona interesada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manifestar su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opción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que el citado tiempo de servicios, sea computado en el cuerpo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desempeñado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provisionalmente para cuando acceda, en su caso, 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condición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 funcionario de carrera de este, mediante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superación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los correspondientes procedimientos selectivos.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3.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entendera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como tiempo de trabajo efectivo, a los efectos del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cómputo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tiempo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permanencia, el tiempo transcurrido en alguna de las siguientes situaciones administrativas:</w:t>
      </w:r>
    </w:p>
    <w:p w:rsidR="00013F67" w:rsidRPr="00D713F4" w:rsidRDefault="00013F67" w:rsidP="00013F67">
      <w:pPr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Servicios especiales. </w:t>
      </w: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Servicios en otras administraciones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Excedencia voluntaria por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razón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violencia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género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. Excedencia voluntaria por cuidado de familiares.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>Excedencia forzosa.</w:t>
      </w:r>
    </w:p>
    <w:p w:rsidR="00013F67" w:rsidRDefault="00013F67" w:rsidP="00013F67">
      <w:pPr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11.-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.</w:t>
      </w: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A los efectos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necesarios para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sistema de carrera se valorará:</w:t>
      </w: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Desarrollo y transferencia de conocimientos: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adquisición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actualización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conocimientos mediante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recibida relacionada con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práctica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profesional, y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participación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colaboración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la docencia.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El transcurso del tiempo en el grupo inmediatamente inferior que recoge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9 de este acuerdo.</w:t>
      </w: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Cumplimiento de objetivos: se valorará el cumplimiento de objetivos asignados, tanto a la unidad a la que está adscrita el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como, en su caso, a nivel personal.</w:t>
      </w:r>
    </w:p>
    <w:p w:rsidR="00013F67" w:rsidRDefault="00013F67" w:rsidP="00013F67">
      <w:pP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  <w:t xml:space="preserve">Profesionalidad: competencias en el desarrollo de las tareas asignadas,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asi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como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desempeño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efectivo de las mismas.</w:t>
      </w:r>
    </w:p>
    <w:p w:rsidR="00013F67" w:rsidRDefault="00013F67" w:rsidP="00013F67">
      <w:pPr>
        <w:jc w:val="center"/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</w:r>
    </w:p>
    <w:p w:rsidR="00013F67" w:rsidRDefault="00013F67" w:rsidP="00013F67">
      <w:pPr>
        <w:jc w:val="center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t>CAPÍTULO IV</w:t>
      </w: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br/>
        <w:t>Procedimiento para el acceso al GDP superior</w:t>
      </w:r>
      <w:r w:rsidRPr="00D713F4">
        <w:rPr>
          <w:rFonts w:ascii="TimesNewRomanPSMT" w:eastAsia="Times New Roman" w:hAnsi="TimesNewRomanPSMT" w:cs="Times New Roman"/>
          <w:b/>
          <w:sz w:val="22"/>
          <w:szCs w:val="22"/>
          <w:u w:val="single"/>
          <w:lang w:val="es-ES" w:eastAsia="es-ES_tradnl"/>
        </w:rPr>
        <w:br/>
      </w:r>
    </w:p>
    <w:p w:rsidR="00013F67" w:rsidRPr="00D713F4" w:rsidRDefault="00013F67" w:rsidP="00013F67">
      <w:pPr>
        <w:rPr>
          <w:rFonts w:ascii="Times New Roman" w:eastAsia="Times New Roman" w:hAnsi="Times New Roman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12.- Acceso al GDP superior.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Para poder acceder a un GDP superior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necesario obtener al menos 70 puntos en el procedimiento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.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puntuación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máxima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 obtener para solicitar el ascenso al siguiente GDP, por cada una de las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áreas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evaluación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desempeño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la establecida en el baremo que figura como Anexo II.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3.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puntuación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máxima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 obtener en las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áreas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Desarrollo de conocimientos y Transferencia de conocimientos establecida en el anexo II,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vendra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referida al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período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completo que conforma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período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 necesario para el acceso al GDP superior.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4. Cuando el personal considere que está en condiciones de acceder al siguiente GDP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dirigir al Departamento de Personal una solicitud para iniciar el correspondiente procedimiento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acceso al GDP superior adjuntando aquella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documentación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acreditativa de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que pretenda hacer valer y que no obre en poder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5.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debera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resolver y notificar en el plazo de 6 meses, desde que tuviera entrada la solicitud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acceso al GDP superior. Transcurrido el mencionado plazo sin que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haya notificado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resolución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expresa, se considerará estimada la solicitud de acceso al GDP superior.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6. Los efectos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económicos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administrativos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reconocerán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desde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que se cumplieren los requisitos siempre que se haya presentado la solicitud por la persona interesada. Si la solicitud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efectúa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durante los tres meses posteriores al cumplimiento de los requisitos exigidos para el progreso, los efectos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económicos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administrativos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retrotraerán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 la fecha del cumplimiento de dichos requisitos. </w:t>
      </w:r>
    </w:p>
    <w:p w:rsidR="00013F67" w:rsidRPr="00D1197A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7. Si la solicitud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efectúa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una vez transcurridos los tres meses posteriores al cumplimiento de los requisitos, los efectos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económicos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administrativos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los de la fecha de solicitud.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br/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Artículo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13.- Consecuencias del vencimiento del tiempo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 permanencia sin obtener la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puntuación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mínima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exigida. </w:t>
      </w:r>
    </w:p>
    <w:p w:rsidR="00013F67" w:rsidRPr="00D1197A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En el supuesto de que, cumplido el periodo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permanencia necesario para el ascenso al siguiente GDP, no se hubiere alcanzado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puntuación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exigida, la persona interesada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debera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demorar su solicitud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valoración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para el progreso de GDP al momento que alcance dicha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puntuación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Pr="00D1197A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Los efectos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económicos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administrativos del acceso al siguiente GDP,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reconocerán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desde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se cumpliesen los requisitos para dicho acceso, por lo que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período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permanencia para un nuevo acceso se iniciará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siguiente de dicha fecha. </w:t>
      </w:r>
    </w:p>
    <w:p w:rsidR="00013F67" w:rsidRDefault="00013F67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3A2159" w:rsidRDefault="003A2159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3A2159" w:rsidRDefault="003A2159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3A2159" w:rsidRDefault="003A2159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3A2159" w:rsidRDefault="003A2159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3A2159" w:rsidRDefault="003A2159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013F67" w:rsidRPr="008E0478" w:rsidRDefault="00013F67" w:rsidP="00013F67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8E0478">
        <w:rPr>
          <w:rFonts w:ascii="TimesNewRomanPSMT" w:hAnsi="TimesNewRomanPSMT"/>
          <w:b/>
          <w:sz w:val="22"/>
          <w:szCs w:val="22"/>
          <w:u w:val="single"/>
        </w:rPr>
        <w:t>CAPÍTULO V</w:t>
      </w:r>
    </w:p>
    <w:p w:rsidR="00013F67" w:rsidRPr="008E0478" w:rsidRDefault="00013F67" w:rsidP="00013F67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8E0478">
        <w:rPr>
          <w:rFonts w:ascii="TimesNewRomanPSMT" w:hAnsi="TimesNewRomanPSMT"/>
          <w:b/>
          <w:sz w:val="22"/>
          <w:szCs w:val="22"/>
          <w:u w:val="single"/>
        </w:rPr>
        <w:t>Complemento de carrera administrativa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14.- Complemento de carrera administrativa.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El reconocimiento del grado de desarrollo profesional en el sistema de carrera horizontal conllevará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percepción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mensual del complemento de carrera administrativa previsto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artículo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76. a de la Ley 10/2010, de 9 de julio, de la Generalitat,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Ordenación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Gestión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Función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Valenciana, en la parte proporcional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cuantía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se detalla en el Anexo I.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El personal que se encuentre percibiendo el complemento de carrera y, mediante los sistemas de acceso previstos en la normativa vigente, acceda a otro cuerpo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agrupación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profesional,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percibira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́, si reuniere los requisitos para ello, tanto el que le corresponde en el o los cuerpos o agrupaciones en que anteriormente estuviera encuadrado y el que se le reconozca en el cuerpo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agrupación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el que se halle.</w:t>
      </w:r>
    </w:p>
    <w:p w:rsidR="00013F67" w:rsidRPr="008E0478" w:rsidRDefault="00013F67" w:rsidP="00013F67">
      <w:pPr>
        <w:pStyle w:val="NormalWeb"/>
        <w:rPr>
          <w:rFonts w:ascii="TimesNewRomanPSMT" w:hAnsi="TimesNewRomanPSMT"/>
          <w:b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</w:r>
      <w:r w:rsidRPr="008E0478">
        <w:rPr>
          <w:rFonts w:ascii="TimesNewRomanPSMT" w:hAnsi="TimesNewRomanPSMT"/>
          <w:b/>
          <w:sz w:val="22"/>
          <w:szCs w:val="22"/>
        </w:rPr>
        <w:t>TÍTULO II</w:t>
      </w:r>
      <w:r w:rsidRPr="008E0478">
        <w:rPr>
          <w:rFonts w:ascii="TimesNewRomanPSMT" w:hAnsi="TimesNewRomanPSMT"/>
          <w:b/>
          <w:sz w:val="22"/>
          <w:szCs w:val="22"/>
        </w:rPr>
        <w:br/>
      </w:r>
      <w:proofErr w:type="spellStart"/>
      <w:r w:rsidRPr="008E0478">
        <w:rPr>
          <w:rFonts w:ascii="TimesNewRomanPSMT" w:hAnsi="TimesNewRomanPSMT"/>
          <w:b/>
          <w:sz w:val="22"/>
          <w:szCs w:val="22"/>
        </w:rPr>
        <w:t>Evaluación</w:t>
      </w:r>
      <w:proofErr w:type="spellEnd"/>
      <w:r w:rsidRPr="008E0478">
        <w:rPr>
          <w:rFonts w:ascii="TimesNewRomanPSMT" w:hAnsi="TimesNewRomanPSMT"/>
          <w:b/>
          <w:sz w:val="22"/>
          <w:szCs w:val="22"/>
        </w:rPr>
        <w:t xml:space="preserve"> del </w:t>
      </w:r>
      <w:proofErr w:type="spellStart"/>
      <w:r w:rsidRPr="008E0478">
        <w:rPr>
          <w:rFonts w:ascii="TimesNewRomanPSMT" w:hAnsi="TimesNewRomanPSMT"/>
          <w:b/>
          <w:sz w:val="22"/>
          <w:szCs w:val="22"/>
        </w:rPr>
        <w:t>Desempeño</w:t>
      </w:r>
      <w:proofErr w:type="spellEnd"/>
    </w:p>
    <w:p w:rsidR="00013F67" w:rsidRPr="008E0478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D1197A">
        <w:rPr>
          <w:rFonts w:ascii="TimesNewRomanPSMT" w:hAnsi="TimesNewRomanPSMT"/>
          <w:sz w:val="22"/>
          <w:szCs w:val="22"/>
        </w:rPr>
        <w:br/>
      </w:r>
      <w:r w:rsidRPr="008E0478">
        <w:rPr>
          <w:rFonts w:ascii="TimesNewRomanPSMT" w:hAnsi="TimesNewRomanPSMT"/>
          <w:b/>
          <w:sz w:val="22"/>
          <w:szCs w:val="22"/>
          <w:u w:val="single"/>
        </w:rPr>
        <w:t>CAPÍTULO I</w:t>
      </w:r>
      <w:r w:rsidRPr="008E0478">
        <w:rPr>
          <w:rFonts w:ascii="TimesNewRomanPSMT" w:hAnsi="TimesNewRomanPSMT"/>
          <w:b/>
          <w:sz w:val="22"/>
          <w:szCs w:val="22"/>
          <w:u w:val="single"/>
        </w:rPr>
        <w:br/>
        <w:t xml:space="preserve">Sistema de </w:t>
      </w:r>
      <w:proofErr w:type="spellStart"/>
      <w:r w:rsidRPr="008E0478">
        <w:rPr>
          <w:rFonts w:ascii="TimesNewRomanPSMT" w:hAnsi="TimesNewRomanPSMT"/>
          <w:b/>
          <w:sz w:val="22"/>
          <w:szCs w:val="22"/>
          <w:u w:val="single"/>
        </w:rPr>
        <w:t>evaluación</w:t>
      </w:r>
      <w:proofErr w:type="spellEnd"/>
      <w:r w:rsidRPr="008E0478">
        <w:rPr>
          <w:rFonts w:ascii="TimesNewRomanPSMT" w:hAnsi="TimesNewRomanPSMT"/>
          <w:b/>
          <w:sz w:val="22"/>
          <w:szCs w:val="22"/>
          <w:u w:val="single"/>
        </w:rPr>
        <w:t xml:space="preserve"> del </w:t>
      </w:r>
      <w:proofErr w:type="spellStart"/>
      <w:r w:rsidRPr="008E0478">
        <w:rPr>
          <w:rFonts w:ascii="TimesNewRomanPSMT" w:hAnsi="TimesNewRomanPSMT"/>
          <w:b/>
          <w:sz w:val="22"/>
          <w:szCs w:val="22"/>
          <w:u w:val="single"/>
        </w:rPr>
        <w:t>desempeño</w:t>
      </w:r>
      <w:proofErr w:type="spellEnd"/>
    </w:p>
    <w:p w:rsidR="00013F67" w:rsidRPr="008E0478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r w:rsidRPr="008E0478">
        <w:rPr>
          <w:rFonts w:ascii="TimesNewRomanPSMT" w:hAnsi="TimesNewRomanPSMT"/>
          <w:b/>
          <w:i/>
          <w:sz w:val="22"/>
          <w:szCs w:val="22"/>
        </w:rPr>
        <w:t xml:space="preserve">Art. 15.- </w:t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Evaluación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del </w:t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desempeño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El Sistema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desempeño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personal del Ayuntamiento de </w:t>
      </w:r>
      <w:r>
        <w:rPr>
          <w:rFonts w:ascii="TimesNewRomanPSMT" w:hAnsi="TimesNewRomanPSMT"/>
          <w:sz w:val="22"/>
          <w:szCs w:val="22"/>
        </w:rPr>
        <w:t>______________</w:t>
      </w:r>
      <w:r w:rsidRPr="00D1197A">
        <w:rPr>
          <w:rFonts w:ascii="TimesNewRomanPSMT" w:hAnsi="TimesNewRomanPSMT"/>
          <w:sz w:val="22"/>
          <w:szCs w:val="22"/>
        </w:rPr>
        <w:t xml:space="preserve">, tiene por objeto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cumplimiento de objetivos y la profesionalidad en el ejercicio de las tareas asignadas,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la iniciativa y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contribución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la mejora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prestación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servicio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>, en cuanto a elementos que deben ser considerados para el ascenso en el sistema de carrera profesional horizontal establecido.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Los procedimientos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están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sujetos a los principios de transparencia, objetividad, imparcialidad y no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discriminación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aplicarán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sin menoscabo de los derechos del personal comprendido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aplicación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este acuerdo.</w:t>
      </w:r>
    </w:p>
    <w:p w:rsidR="00013F67" w:rsidRPr="008E0478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D1197A">
        <w:rPr>
          <w:rFonts w:ascii="TimesNewRomanPSMT" w:hAnsi="TimesNewRomanPSMT"/>
          <w:sz w:val="22"/>
          <w:szCs w:val="22"/>
        </w:rPr>
        <w:br/>
      </w:r>
      <w:r w:rsidRPr="008E0478">
        <w:rPr>
          <w:rFonts w:ascii="TimesNewRomanPSMT" w:hAnsi="TimesNewRomanPSMT"/>
          <w:b/>
          <w:sz w:val="22"/>
          <w:szCs w:val="22"/>
          <w:u w:val="single"/>
        </w:rPr>
        <w:t>CAPÍTULO II</w:t>
      </w:r>
      <w:r w:rsidRPr="008E0478">
        <w:rPr>
          <w:rFonts w:ascii="TimesNewRomanPSMT" w:hAnsi="TimesNewRomanPSMT"/>
          <w:b/>
          <w:sz w:val="22"/>
          <w:szCs w:val="22"/>
          <w:u w:val="single"/>
        </w:rPr>
        <w:br/>
        <w:t>Cumplimiento de objetivos</w:t>
      </w:r>
    </w:p>
    <w:p w:rsidR="00013F67" w:rsidRPr="008E0478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16.- Cumplimiento de objetivos colectivos.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cumplimiento de objetivos del personal del Ayuntamiento de </w:t>
      </w:r>
      <w:r>
        <w:rPr>
          <w:rFonts w:ascii="TimesNewRomanPSMT" w:hAnsi="TimesNewRomanPSMT"/>
          <w:sz w:val="22"/>
          <w:szCs w:val="22"/>
        </w:rPr>
        <w:softHyphen/>
      </w:r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tendra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en cuenta el logro de los asignados al Departamento en el que esté integrado,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implicación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contribución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individual en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consecución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dichos objetivos colectivos o, en su caso, el grado de cumplimiento de los objetivos individuales que tuviera asignados. Los objetivos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fijados por la persona responsable del departamento con el visto bueno del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conce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jal delegado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enviados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evaluadora antes del 31 de enero de cada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17.- Objetivos colectivos.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logro de los objetivos que se establezca para los correspondientes Departamentos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asignada individualmente a todos sus integrantes, con independencia del cuerpo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agrupación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profesional funcionarial a que pertenezcan y del puesto de trabajo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desempeñen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3A2159" w:rsidRDefault="003A2159" w:rsidP="00013F67">
      <w:pPr>
        <w:pStyle w:val="NormalWeb"/>
        <w:rPr>
          <w:rFonts w:ascii="TimesNewRomanPSMT" w:hAnsi="TimesNewRomanPSMT"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sz w:val="22"/>
          <w:szCs w:val="22"/>
        </w:rPr>
      </w:pP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2. Los objetivos pueden ser de dos tipos: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a) Objetivos de mejora del servicio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: las </w:t>
      </w:r>
      <w:proofErr w:type="spellStart"/>
      <w:r w:rsidRPr="00D1197A">
        <w:rPr>
          <w:rFonts w:ascii="TimesNewRomanPSMT" w:hAnsi="TimesNewRomanPSMT"/>
          <w:sz w:val="22"/>
          <w:szCs w:val="22"/>
        </w:rPr>
        <w:t>líneas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estratégica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mejora del servicio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relacionadas con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gobierno, a las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ajustarse los proyectos a desarrollar por los Departamentos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fijadas por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área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correspondiente y, en su caso, por la Junta de Gobierno Local.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b) Objetivos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específicos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Departamentos: son los asignados por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órgano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promotor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con las funciones que tienen atribuidas. Los objetivos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ser susceptibles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cuantificación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numérica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su posterior seguimiento evolutivo durante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A tales efectos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podrán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tener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consideración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encuestas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satisfacción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usuarios,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análisis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las quejas, etc.</w:t>
      </w:r>
    </w:p>
    <w:p w:rsidR="00013F67" w:rsidRPr="008E0478" w:rsidRDefault="00013F67" w:rsidP="00013F67">
      <w:pPr>
        <w:pStyle w:val="NormalWeb"/>
        <w:rPr>
          <w:b/>
          <w:i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18.- </w:t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Implicación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y </w:t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contribución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individual a la </w:t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consecución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de los objetivos colectivos. Objetivos individuales. 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implicación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contribución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individual del personal en los objetivos colectivos del Departamento se realizará por parte de la persona responsable del mismo. A estos efectos,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cumplimentar por cada uno de los miembros de su equipo un cuestionario normalizado cuyo modelo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aprobado por la JGL, a propuesta del Departamento de Personal. 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En este caso,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implicación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contribución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individual de dicho personal en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consecución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objetivos colectivos, prevista en el apartado anterior, </w:t>
      </w:r>
      <w:proofErr w:type="spellStart"/>
      <w:r w:rsidRPr="00D1197A">
        <w:rPr>
          <w:rFonts w:ascii="TimesNewRomanPSMT" w:hAnsi="TimesNewRomanPSMT"/>
          <w:sz w:val="22"/>
          <w:szCs w:val="22"/>
        </w:rPr>
        <w:t>vendra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referida al grado de cumplimiento de los objetivos individuales asignados. </w:t>
      </w:r>
    </w:p>
    <w:p w:rsidR="00013F67" w:rsidRPr="008E0478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19.- Informe de resultados.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Concluido el plazo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consecución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objetivos previstos, la persona responsable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elaborar un informe final de resultados en el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hara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constar el grado de cumplimiento de </w:t>
      </w:r>
      <w:proofErr w:type="gramStart"/>
      <w:r w:rsidRPr="00D1197A">
        <w:rPr>
          <w:rFonts w:ascii="TimesNewRomanPSMT" w:hAnsi="TimesNewRomanPSMT"/>
          <w:sz w:val="22"/>
          <w:szCs w:val="22"/>
        </w:rPr>
        <w:t>los mismos</w:t>
      </w:r>
      <w:proofErr w:type="gramEnd"/>
      <w:r w:rsidRPr="00D1197A">
        <w:rPr>
          <w:rFonts w:ascii="TimesNewRomanPSMT" w:hAnsi="TimesNewRomanPSMT"/>
          <w:sz w:val="22"/>
          <w:szCs w:val="22"/>
        </w:rPr>
        <w:t xml:space="preserve">. Dicho informe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remitido al </w:t>
      </w:r>
      <w:proofErr w:type="spellStart"/>
      <w:r w:rsidRPr="00D1197A">
        <w:rPr>
          <w:rFonts w:ascii="TimesNewRomanPSMT" w:hAnsi="TimesNewRomanPSMT"/>
          <w:sz w:val="22"/>
          <w:szCs w:val="22"/>
        </w:rPr>
        <w:t>órgano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competente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final de los resultados obtenidos,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notificarse individualmente a todas las personas integrantes del Departamento vinculadas a los resultados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Los criterios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u objetivos que puedan ser establecidos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podrán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valorar de forma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automática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tanto si son colectivos como individuales, como por ejemplo el tiempo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tramitación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expedientes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número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expedientes tramitados, teniendo en cuenta la dificultad y habiendo un reparto equitativo de los mismos.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Entre los indicadores de objetivos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tendra</w:t>
      </w:r>
      <w:proofErr w:type="spellEnd"/>
      <w:r w:rsidRPr="00D1197A">
        <w:rPr>
          <w:rFonts w:ascii="TimesNewRomanPSMT" w:hAnsi="TimesNewRomanPSMT"/>
          <w:sz w:val="22"/>
          <w:szCs w:val="22"/>
        </w:rPr>
        <w:t>́ en cuenta aquellos que hacen referencia al cumplimiento horario, tiempos de descanso, faltas de asistencia injustificadas, etc.</w:t>
      </w:r>
    </w:p>
    <w:p w:rsidR="00013F67" w:rsidRPr="008E0478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D1197A">
        <w:rPr>
          <w:rFonts w:ascii="TimesNewRomanPSMT" w:hAnsi="TimesNewRomanPSMT"/>
          <w:sz w:val="22"/>
          <w:szCs w:val="22"/>
        </w:rPr>
        <w:br/>
      </w:r>
      <w:r w:rsidRPr="008E0478">
        <w:rPr>
          <w:rFonts w:ascii="TimesNewRomanPSMT" w:hAnsi="TimesNewRomanPSMT"/>
          <w:b/>
          <w:sz w:val="22"/>
          <w:szCs w:val="22"/>
          <w:u w:val="single"/>
        </w:rPr>
        <w:t>CAPÍTULO III</w:t>
      </w:r>
      <w:r w:rsidRPr="008E0478">
        <w:rPr>
          <w:rFonts w:ascii="TimesNewRomanPSMT" w:hAnsi="TimesNewRomanPSMT"/>
          <w:b/>
          <w:sz w:val="22"/>
          <w:szCs w:val="22"/>
          <w:u w:val="single"/>
        </w:rPr>
        <w:br/>
        <w:t>Profesionalidad en el ejercicio de las tareas asignadas.</w:t>
      </w:r>
    </w:p>
    <w:p w:rsidR="00013F67" w:rsidRPr="008E0478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20.- Profesionalidad en el ejercicio de las tareas asignadas.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profesionalidad en el ejercicio de las tareas asignadas se basará en la competencia con que el personal del Ayuntamiento desarrolla las actividades que son reconocidas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éste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como uno de los elementos esenciales de su puesto de trabajo, actividades que contribuyen a producir los servicios que son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núcleo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gestión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organización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3A2159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Esta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 realizará sobre las capacidades, conocimientos y habilidades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desempeño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las tareas del puesto de trabajo. 3. A estos efectos, las personas responsables de los diferentes Departamentos </w:t>
      </w:r>
    </w:p>
    <w:p w:rsidR="003A2159" w:rsidRDefault="003A2159" w:rsidP="00013F67">
      <w:pPr>
        <w:pStyle w:val="NormalWeb"/>
        <w:rPr>
          <w:rFonts w:ascii="TimesNewRomanPSMT" w:hAnsi="TimesNewRomanPSMT"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sz w:val="22"/>
          <w:szCs w:val="22"/>
        </w:rPr>
      </w:pP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administrativos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cumplimentarán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para cada trabajador y trabajadora </w:t>
      </w:r>
      <w:proofErr w:type="gramStart"/>
      <w:r w:rsidRPr="00D1197A">
        <w:rPr>
          <w:rFonts w:ascii="TimesNewRomanPSMT" w:hAnsi="TimesNewRomanPSMT"/>
          <w:sz w:val="22"/>
          <w:szCs w:val="22"/>
        </w:rPr>
        <w:t>del mismo</w:t>
      </w:r>
      <w:proofErr w:type="gramEnd"/>
      <w:r w:rsidRPr="00D1197A">
        <w:rPr>
          <w:rFonts w:ascii="TimesNewRomanPSMT" w:hAnsi="TimesNewRomanPSMT"/>
          <w:sz w:val="22"/>
          <w:szCs w:val="22"/>
        </w:rPr>
        <w:t xml:space="preserve">, un cuestionario normalizado cuyo modelo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aprobado por la JGL, a propuesta del departamento de Personal. Del mismo modo los responsables de los Departamentos correspondientes, a su vez,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valorados por sus subordinados, pudiendo crearse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comités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aquellos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se determinen.</w:t>
      </w:r>
    </w:p>
    <w:p w:rsidR="00013F67" w:rsidRPr="008E0478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21.- </w:t>
      </w:r>
      <w:proofErr w:type="spellStart"/>
      <w:r w:rsidRPr="008E0478">
        <w:rPr>
          <w:rFonts w:ascii="TimesNewRomanPSMT" w:hAnsi="TimesNewRomanPSMT"/>
          <w:b/>
          <w:i/>
          <w:sz w:val="22"/>
          <w:szCs w:val="22"/>
        </w:rPr>
        <w:t>Desempeño</w:t>
      </w:r>
      <w:proofErr w:type="spellEnd"/>
      <w:r w:rsidRPr="008E0478">
        <w:rPr>
          <w:rFonts w:ascii="TimesNewRomanPSMT" w:hAnsi="TimesNewRomanPSMT"/>
          <w:b/>
          <w:i/>
          <w:sz w:val="22"/>
          <w:szCs w:val="22"/>
        </w:rPr>
        <w:t xml:space="preserve"> efectivo de las tareas asignadas.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Se valorará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ocupación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efectiva del puesto de trabajo, introduciendo un factor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corrección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función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absentismo injustificado originado en el periodo de tiempo de referencia, de acuerdo con los sistemas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medición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mismo establecidos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3A2159" w:rsidRDefault="003A2159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013F67" w:rsidRPr="005B3236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5B3236">
        <w:rPr>
          <w:rFonts w:ascii="TimesNewRomanPSMT" w:hAnsi="TimesNewRomanPSMT"/>
          <w:b/>
          <w:sz w:val="22"/>
          <w:szCs w:val="22"/>
          <w:u w:val="single"/>
        </w:rPr>
        <w:t>CAPÍTULO IV</w:t>
      </w:r>
      <w:r w:rsidRPr="005B3236">
        <w:rPr>
          <w:rFonts w:ascii="TimesNewRomanPSMT" w:hAnsi="TimesNewRomanPSMT"/>
          <w:b/>
          <w:sz w:val="22"/>
          <w:szCs w:val="22"/>
          <w:u w:val="single"/>
        </w:rPr>
        <w:br/>
        <w:t xml:space="preserve">Iniciativa y </w:t>
      </w:r>
      <w:proofErr w:type="spellStart"/>
      <w:r w:rsidRPr="005B3236">
        <w:rPr>
          <w:rFonts w:ascii="TimesNewRomanPSMT" w:hAnsi="TimesNewRomanPSMT"/>
          <w:b/>
          <w:sz w:val="22"/>
          <w:szCs w:val="22"/>
          <w:u w:val="single"/>
        </w:rPr>
        <w:t>participación</w:t>
      </w:r>
      <w:proofErr w:type="spellEnd"/>
      <w:r w:rsidRPr="005B3236">
        <w:rPr>
          <w:rFonts w:ascii="TimesNewRomanPSMT" w:hAnsi="TimesNewRomanPSMT"/>
          <w:b/>
          <w:sz w:val="22"/>
          <w:szCs w:val="22"/>
          <w:u w:val="single"/>
        </w:rPr>
        <w:t xml:space="preserve"> para la mejora de la calidad del servicio </w:t>
      </w:r>
      <w:proofErr w:type="spellStart"/>
      <w:r w:rsidRPr="005B3236">
        <w:rPr>
          <w:rFonts w:ascii="TimesNewRomanPSMT" w:hAnsi="TimesNewRomanPSMT"/>
          <w:b/>
          <w:sz w:val="22"/>
          <w:szCs w:val="22"/>
          <w:u w:val="single"/>
        </w:rPr>
        <w:t>público</w:t>
      </w:r>
      <w:proofErr w:type="spellEnd"/>
      <w:r w:rsidRPr="005B3236">
        <w:rPr>
          <w:rFonts w:ascii="TimesNewRomanPSMT" w:hAnsi="TimesNewRomanPSMT"/>
          <w:b/>
          <w:sz w:val="22"/>
          <w:szCs w:val="22"/>
          <w:u w:val="single"/>
        </w:rPr>
        <w:t>.</w:t>
      </w: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sz w:val="22"/>
          <w:szCs w:val="22"/>
        </w:rPr>
        <w:t xml:space="preserve"> 22.- Iniciativa y </w:t>
      </w:r>
      <w:proofErr w:type="spellStart"/>
      <w:r w:rsidRPr="005B3236">
        <w:rPr>
          <w:rFonts w:ascii="TimesNewRomanPSMT" w:hAnsi="TimesNewRomanPSMT"/>
          <w:b/>
          <w:sz w:val="22"/>
          <w:szCs w:val="22"/>
        </w:rPr>
        <w:t>participación</w:t>
      </w:r>
      <w:proofErr w:type="spellEnd"/>
      <w:r w:rsidRPr="005B3236">
        <w:rPr>
          <w:rFonts w:ascii="TimesNewRomanPSMT" w:hAnsi="TimesNewRomanPSMT"/>
          <w:b/>
          <w:sz w:val="22"/>
          <w:szCs w:val="22"/>
        </w:rPr>
        <w:t xml:space="preserve"> en la mejora de la calidad del servicio </w:t>
      </w:r>
      <w:proofErr w:type="spellStart"/>
      <w:r w:rsidRPr="005B3236">
        <w:rPr>
          <w:rFonts w:ascii="TimesNewRomanPSMT" w:hAnsi="TimesNewRomanPSMT"/>
          <w:b/>
          <w:sz w:val="22"/>
          <w:szCs w:val="22"/>
        </w:rPr>
        <w:t>público</w:t>
      </w:r>
      <w:proofErr w:type="spellEnd"/>
      <w:r w:rsidRPr="005B3236">
        <w:rPr>
          <w:rFonts w:ascii="TimesNewRomanPSMT" w:hAnsi="TimesNewRomanPSMT"/>
          <w:b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Se valorará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voluntaria en programas de calidad,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en grupos de expertos, equipos de trabajo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modernización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y, en general, la iniciativa y, en su caso, desarrollo de actividades o propuestas que contribuyan a la mejora de la calidad del servicio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atención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ciudadanía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Los citados grupos o equipos de trabajo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su validez y toma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consideración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ser aprobados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algún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órgano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gobierno.</w:t>
      </w:r>
    </w:p>
    <w:p w:rsidR="00013F67" w:rsidRPr="005B3236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5B3236">
        <w:rPr>
          <w:rFonts w:ascii="TimesNewRomanPSMT" w:hAnsi="TimesNewRomanPSMT"/>
          <w:b/>
          <w:sz w:val="22"/>
          <w:szCs w:val="22"/>
          <w:u w:val="single"/>
        </w:rPr>
        <w:t>CAPÍTULO V</w:t>
      </w:r>
      <w:r w:rsidRPr="005B3236">
        <w:rPr>
          <w:rFonts w:ascii="TimesNewRomanPSMT" w:hAnsi="TimesNewRomanPSMT"/>
          <w:b/>
          <w:sz w:val="22"/>
          <w:szCs w:val="22"/>
          <w:u w:val="single"/>
        </w:rPr>
        <w:br/>
        <w:t>Desarrollo de conocimientos</w:t>
      </w: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sz w:val="22"/>
          <w:szCs w:val="22"/>
        </w:rPr>
        <w:t xml:space="preserve"> 23.- </w:t>
      </w:r>
      <w:proofErr w:type="spellStart"/>
      <w:r w:rsidRPr="005B3236">
        <w:rPr>
          <w:rFonts w:ascii="TimesNewRomanPSMT" w:hAnsi="TimesNewRomanPSMT"/>
          <w:b/>
          <w:sz w:val="22"/>
          <w:szCs w:val="22"/>
        </w:rPr>
        <w:t>Formación</w:t>
      </w:r>
      <w:proofErr w:type="spellEnd"/>
      <w:r w:rsidRPr="005B3236">
        <w:rPr>
          <w:rFonts w:ascii="TimesNewRomanPSMT" w:hAnsi="TimesNewRomanPSMT"/>
          <w:b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Se entiende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el conjunto de actividades que, a </w:t>
      </w:r>
      <w:proofErr w:type="spellStart"/>
      <w:r w:rsidRPr="00D1197A">
        <w:rPr>
          <w:rFonts w:ascii="TimesNewRomanPSMT" w:hAnsi="TimesNewRomanPSMT"/>
          <w:sz w:val="22"/>
          <w:szCs w:val="22"/>
        </w:rPr>
        <w:t>través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aprendizaje planificado, tienen como objetivo el mantenimiento y la mejora de la competencia profesional, con el fin de contribuir a mejorar el servicio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el desarrollo profesional del personal empleado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consecución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objetivos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estratégicos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organización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24.-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Formación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objeto de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valoración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>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los cursos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convocados, impartidos u homologados por el IVAP, o por otras escuelas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personal empleado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los cursos realizados fuera del Ayuntamiento de </w:t>
      </w:r>
      <w:r>
        <w:rPr>
          <w:rFonts w:ascii="TimesNewRomanPSMT" w:hAnsi="TimesNewRomanPSMT"/>
          <w:sz w:val="22"/>
          <w:szCs w:val="22"/>
        </w:rPr>
        <w:t>___________,</w:t>
      </w:r>
      <w:r w:rsidRPr="00D1197A">
        <w:rPr>
          <w:rFonts w:ascii="TimesNewRomanPSMT" w:hAnsi="TimesNewRomanPSMT"/>
          <w:sz w:val="22"/>
          <w:szCs w:val="22"/>
        </w:rPr>
        <w:t xml:space="preserve"> en horario laboral,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ser comunicados con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antelación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al Departamento de Personal para que puedan ser valorados.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Los cursos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másteres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realizados en las Universidades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siempre que guarden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el ejercicio de sus competencias.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3.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también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los cursos organizados por las Organizaciones Sindicales y otras entidades promotoras al amparo de los acuerdos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el empleo de las administraciones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4. En todos los casos anteriores los cursos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estar relacionados directamente con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Local.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5. Para poder acceder al GDP superior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necesario acreditar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tanto recibida como impartida, por el siguiente </w:t>
      </w:r>
      <w:proofErr w:type="spellStart"/>
      <w:r w:rsidRPr="00D1197A">
        <w:rPr>
          <w:rFonts w:ascii="TimesNewRomanPSMT" w:hAnsi="TimesNewRomanPSMT"/>
          <w:sz w:val="22"/>
          <w:szCs w:val="22"/>
        </w:rPr>
        <w:t>número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horas en el GDP en el que se encuentre, no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acumulándose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otros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períodos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25.-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Valoración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del desarrollo de conocimientos.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actividades formativas que cumplan con los requisitos establecidos por el presente acuerdo para su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como </w:t>
      </w:r>
      <w:proofErr w:type="spellStart"/>
      <w:r w:rsidRPr="00D1197A">
        <w:rPr>
          <w:rFonts w:ascii="TimesNewRomanPSMT" w:hAnsi="TimesNewRomanPSMT"/>
          <w:sz w:val="22"/>
          <w:szCs w:val="22"/>
        </w:rPr>
        <w:t>mérito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progresión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la carrera profesional horizontal, se otorgará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puntuación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0.3 puntos por hora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En el supuesto de que en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expedición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certificados acreditativos de dichas actividades se distinga entre asistencia y aprovechamiento,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actividad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requerira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acreditación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esta </w:t>
      </w:r>
      <w:proofErr w:type="spellStart"/>
      <w:r w:rsidRPr="00D1197A">
        <w:rPr>
          <w:rFonts w:ascii="TimesNewRomanPSMT" w:hAnsi="TimesNewRomanPSMT"/>
          <w:sz w:val="22"/>
          <w:szCs w:val="22"/>
        </w:rPr>
        <w:t>última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circunstancia.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3. Para poder ser objeto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dichos certificados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indicar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número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horas de la actividad formativa.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4.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obtención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titulación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superior a la exigida se le </w:t>
      </w:r>
      <w:proofErr w:type="spellStart"/>
      <w:r w:rsidRPr="00D1197A">
        <w:rPr>
          <w:rFonts w:ascii="TimesNewRomanPSMT" w:hAnsi="TimesNewRomanPSMT"/>
          <w:sz w:val="22"/>
          <w:szCs w:val="22"/>
        </w:rPr>
        <w:t>otogaran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5 puntos.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5. Por cada nivel superior al B1 de conocimientos del valenciano obtenido 5 puntos.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6.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obtención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 </w:t>
      </w:r>
      <w:proofErr w:type="spellStart"/>
      <w:r w:rsidRPr="00D1197A">
        <w:rPr>
          <w:rFonts w:ascii="TimesNewRomanPSMT" w:hAnsi="TimesNewRomanPSMT"/>
          <w:sz w:val="22"/>
          <w:szCs w:val="22"/>
        </w:rPr>
        <w:t>máster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 postgrado, 3 puntos. </w:t>
      </w:r>
    </w:p>
    <w:p w:rsidR="00013F67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</w:p>
    <w:p w:rsidR="00013F67" w:rsidRPr="005B3236" w:rsidRDefault="00013F67" w:rsidP="00013F67">
      <w:pPr>
        <w:pStyle w:val="NormalWeb"/>
        <w:jc w:val="center"/>
        <w:rPr>
          <w:rFonts w:ascii="TimesNewRomanPSMT" w:hAnsi="TimesNewRomanPSMT"/>
          <w:b/>
          <w:sz w:val="22"/>
          <w:szCs w:val="22"/>
          <w:u w:val="single"/>
        </w:rPr>
      </w:pPr>
      <w:r w:rsidRPr="005B3236">
        <w:rPr>
          <w:rFonts w:ascii="TimesNewRomanPSMT" w:hAnsi="TimesNewRomanPSMT"/>
          <w:b/>
          <w:sz w:val="22"/>
          <w:szCs w:val="22"/>
          <w:u w:val="single"/>
        </w:rPr>
        <w:t>CAPÍTULO VI</w:t>
      </w:r>
      <w:r w:rsidRPr="005B3236">
        <w:rPr>
          <w:rFonts w:ascii="TimesNewRomanPSMT" w:hAnsi="TimesNewRomanPSMT"/>
          <w:b/>
          <w:sz w:val="22"/>
          <w:szCs w:val="22"/>
          <w:u w:val="single"/>
        </w:rPr>
        <w:br/>
        <w:t>Transferencia de conocimientos</w:t>
      </w: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26. Transferencia de conocimientos,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investigación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e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innovación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entendera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innovación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transferencia del conocimiento el conjunto de actividades realizadas por el personal, dirigidas, tanto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difusión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conocimiento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técnico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organizativo, como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investigación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divulgación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desarrollo en materias propias de los distintos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profesionales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objeto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concepto de transferencias de conocimientos, entre otras, las siguientes actividades desarrolladas por el personal del Ayuntamiento: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a) Docencia, definida como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impartir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 personal del Ayuntamiento y a otros empleados y empleadas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dentro de las acciones formativas organizadas por escuelas o institutos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personal empleado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Se incluyen cursos impartidos tanto bajo la modalidad presencial, como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online.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b) </w:t>
      </w:r>
      <w:proofErr w:type="spellStart"/>
      <w:r w:rsidRPr="00D1197A">
        <w:rPr>
          <w:rFonts w:ascii="TimesNewRomanPSMT" w:hAnsi="TimesNewRomanPSMT"/>
          <w:sz w:val="22"/>
          <w:szCs w:val="22"/>
        </w:rPr>
        <w:t>Tutoría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entendida como una modalidad de transferencia de conocimiento cuya finalidad es formar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desempeño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competencias profesionales al personal de la propia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bien de manera individual o grupal. 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c)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Coordinación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grupos de trabajo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elaboración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puesta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práctica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 proyecto profesional sobre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temática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interés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  <w:r w:rsidRPr="00D1197A">
        <w:rPr>
          <w:rFonts w:ascii="TimesNewRomanPSMT" w:hAnsi="TimesNewRomanPSMT"/>
          <w:sz w:val="22"/>
          <w:szCs w:val="22"/>
        </w:rPr>
        <w:br/>
        <w:t xml:space="preserve">3.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Investigación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innovación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: se valorará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dirección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trabajos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investigación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innovación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 calidad relacionadas con la actividad profesional o institucional. 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4.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Difusión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conocimiento. Será objeto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congresos, jornadas y conferencias relacionadas con la actividad profesional e institucional,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las publicaciones relacionadas con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tanto en formato digital como en papel. </w:t>
      </w: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27.-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Valoración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de la transferencia de conocimientos, la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investigación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e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innovación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>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Las actividades recogidas en el apartado Transferencia de conocimientos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valoradas de acuerdo con el siguiente baremo: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1. Docencia: 0,75 puntos por hora.</w:t>
      </w:r>
      <w:r w:rsidRPr="00D1197A">
        <w:rPr>
          <w:rFonts w:ascii="TimesNewRomanPSMT" w:hAnsi="TimesNewRomanPSMT"/>
          <w:sz w:val="22"/>
          <w:szCs w:val="22"/>
        </w:rPr>
        <w:br/>
        <w:t xml:space="preserve">En el supuesto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impartición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más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una misma actividad formativa dentro de un mismo plan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formación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, la segunda y posteriores sesiones se valorará a 0,30 puntos por hora.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Coordinación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grupos de trabajo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elaboración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puesta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práctica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 proyecto profesional sobre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temática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interés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: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a) Este apartado se valorará de acuerdo con la siguiente escala</w:t>
      </w:r>
      <w:r w:rsidR="00F640AF">
        <w:rPr>
          <w:rFonts w:ascii="TimesNewRomanPSMT" w:hAnsi="TimesNewRomanPSMT"/>
          <w:sz w:val="22"/>
          <w:szCs w:val="22"/>
        </w:rPr>
        <w:t>:</w:t>
      </w:r>
    </w:p>
    <w:p w:rsidR="00013F67" w:rsidRDefault="00013F67" w:rsidP="00F640AF">
      <w:pPr>
        <w:pStyle w:val="NormalWeb"/>
        <w:ind w:left="1843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1</w:t>
      </w:r>
      <w:r>
        <w:rPr>
          <w:rFonts w:ascii="TimesNewRomanPSMT" w:hAnsi="TimesNewRomanPSMT"/>
          <w:sz w:val="22"/>
          <w:szCs w:val="22"/>
        </w:rPr>
        <w:t>º</w:t>
      </w:r>
      <w:r w:rsidRPr="00D1197A">
        <w:rPr>
          <w:rFonts w:ascii="TimesNewRomanPSMT" w:hAnsi="TimesNewRomanPSMT"/>
          <w:sz w:val="22"/>
          <w:szCs w:val="22"/>
        </w:rPr>
        <w:t xml:space="preserve">.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Coordinación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: 0,40 puntos por hora</w:t>
      </w:r>
      <w:r w:rsidRPr="00D1197A">
        <w:rPr>
          <w:rFonts w:ascii="TimesNewRomanPSMT" w:hAnsi="TimesNewRomanPSMT"/>
          <w:sz w:val="22"/>
          <w:szCs w:val="22"/>
        </w:rPr>
        <w:br/>
        <w:t>2.</w:t>
      </w:r>
      <w:r>
        <w:rPr>
          <w:rFonts w:ascii="TimesNewRomanPSMT" w:hAnsi="TimesNewRomanPSMT"/>
          <w:sz w:val="22"/>
          <w:szCs w:val="22"/>
        </w:rPr>
        <w:t>º</w:t>
      </w:r>
      <w:r w:rsidRPr="00D1197A">
        <w:rPr>
          <w:rFonts w:ascii="TimesNewRomanPSMT" w:hAnsi="TimesNewRomanPSMT"/>
          <w:sz w:val="22"/>
          <w:szCs w:val="22"/>
        </w:rPr>
        <w:t xml:space="preserve">.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>: 0,30 puntos por hora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b)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creación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grupos de trabajo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ser aprobada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resolución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alcaldía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acompañando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descripción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objeto de dicho grupo, </w:t>
      </w:r>
      <w:proofErr w:type="spellStart"/>
      <w:r w:rsidRPr="00D1197A">
        <w:rPr>
          <w:rFonts w:ascii="TimesNewRomanPSMT" w:hAnsi="TimesNewRomanPSMT"/>
          <w:sz w:val="22"/>
          <w:szCs w:val="22"/>
        </w:rPr>
        <w:t>duración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mismo,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personas que formen parte de este como coordinadores y participantes, la cual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resolvera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sobre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inclusión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actividad como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actuación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susceptible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valoración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 efectos de carrera profesional horizontal.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3. </w:t>
      </w:r>
      <w:proofErr w:type="spellStart"/>
      <w:r w:rsidRPr="00D1197A">
        <w:rPr>
          <w:rFonts w:ascii="TimesNewRomanPSMT" w:hAnsi="TimesNewRomanPSMT"/>
          <w:sz w:val="22"/>
          <w:szCs w:val="22"/>
        </w:rPr>
        <w:t>Participación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congresos, jornadas y conferencias relacionadas con la actividad profesional e institucional:</w:t>
      </w:r>
      <w:r w:rsidRPr="00D1197A">
        <w:rPr>
          <w:rFonts w:ascii="TimesNewRomanPSMT" w:hAnsi="TimesNewRomanPSMT"/>
          <w:sz w:val="22"/>
          <w:szCs w:val="22"/>
        </w:rPr>
        <w:br/>
        <w:t xml:space="preserve">Este apartado se valorará de acuerdo con la siguiente escala: </w:t>
      </w:r>
    </w:p>
    <w:p w:rsidR="00013F67" w:rsidRPr="00D1197A" w:rsidRDefault="00013F67" w:rsidP="00F640AF">
      <w:pPr>
        <w:pStyle w:val="NormalWeb"/>
        <w:spacing w:before="0" w:beforeAutospacing="0" w:after="0" w:afterAutospacing="0"/>
        <w:ind w:left="1843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Ponencia: 4 puntos </w:t>
      </w:r>
    </w:p>
    <w:p w:rsidR="00013F67" w:rsidRDefault="00013F67" w:rsidP="00F640AF">
      <w:pPr>
        <w:pStyle w:val="NormalWeb"/>
        <w:spacing w:before="0" w:beforeAutospacing="0" w:after="0" w:afterAutospacing="0"/>
        <w:ind w:left="1843"/>
        <w:rPr>
          <w:rFonts w:ascii="TimesNewRomanPSMT" w:hAnsi="TimesNewRomanPSMT"/>
          <w:sz w:val="22"/>
          <w:szCs w:val="22"/>
        </w:rPr>
      </w:pPr>
      <w:proofErr w:type="spellStart"/>
      <w:r w:rsidRPr="00D1197A">
        <w:rPr>
          <w:rFonts w:ascii="TimesNewRomanPSMT" w:hAnsi="TimesNewRomanPSMT"/>
          <w:sz w:val="22"/>
          <w:szCs w:val="22"/>
        </w:rPr>
        <w:t>Comunicación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póster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 similares: 2 puntos</w:t>
      </w:r>
      <w:r w:rsidRPr="00D1197A">
        <w:rPr>
          <w:rFonts w:ascii="TimesNewRomanPSMT" w:hAnsi="TimesNewRomanPSMT"/>
          <w:sz w:val="22"/>
          <w:szCs w:val="22"/>
        </w:rPr>
        <w:br/>
        <w:t>Asistencia: 1 punto</w:t>
      </w:r>
    </w:p>
    <w:p w:rsidR="00013F67" w:rsidRDefault="00013F67" w:rsidP="00013F67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  <w:t xml:space="preserve">4. Publicaciones relacionadas con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</w:t>
      </w:r>
      <w:proofErr w:type="spellEnd"/>
      <w:r w:rsidRPr="00D1197A">
        <w:rPr>
          <w:rFonts w:ascii="TimesNewRomanPSMT" w:hAnsi="TimesNewRomanPSMT"/>
          <w:sz w:val="22"/>
          <w:szCs w:val="22"/>
        </w:rPr>
        <w:t>, tanto en formato digital como en papel: este apartado se valorará con 4 puntos.</w:t>
      </w:r>
    </w:p>
    <w:p w:rsidR="00013F67" w:rsidRDefault="00013F67" w:rsidP="00013F67">
      <w:pPr>
        <w:pStyle w:val="NormalWeb"/>
        <w:spacing w:before="0" w:beforeAutospacing="0" w:after="0" w:afterAutospacing="0"/>
        <w:rPr>
          <w:rFonts w:ascii="TimesNewRomanPSMT" w:hAnsi="TimesNewRomanPSMT"/>
          <w:b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</w:r>
    </w:p>
    <w:p w:rsidR="00013F67" w:rsidRPr="005B3236" w:rsidRDefault="00013F67" w:rsidP="00013F67">
      <w:pPr>
        <w:pStyle w:val="NormalWeb"/>
        <w:spacing w:before="0" w:beforeAutospacing="0" w:after="0" w:afterAutospacing="0"/>
        <w:rPr>
          <w:rFonts w:ascii="TimesNewRomanPSMT" w:hAnsi="TimesNewRomanPSMT"/>
          <w:b/>
          <w:sz w:val="22"/>
          <w:szCs w:val="22"/>
        </w:rPr>
      </w:pPr>
      <w:r w:rsidRPr="005B3236">
        <w:rPr>
          <w:rFonts w:ascii="TimesNewRomanPSMT" w:hAnsi="TimesNewRomanPSMT"/>
          <w:b/>
          <w:sz w:val="22"/>
          <w:szCs w:val="22"/>
        </w:rPr>
        <w:t>TÍTULO III</w:t>
      </w:r>
      <w:r w:rsidRPr="005B3236">
        <w:rPr>
          <w:rFonts w:ascii="TimesNewRomanPSMT" w:hAnsi="TimesNewRomanPSMT"/>
          <w:b/>
          <w:sz w:val="22"/>
          <w:szCs w:val="22"/>
        </w:rPr>
        <w:br/>
      </w:r>
      <w:proofErr w:type="spellStart"/>
      <w:r w:rsidRPr="005B3236">
        <w:rPr>
          <w:rFonts w:ascii="TimesNewRomanPSMT" w:hAnsi="TimesNewRomanPSMT"/>
          <w:b/>
          <w:sz w:val="22"/>
          <w:szCs w:val="22"/>
        </w:rPr>
        <w:t>Organización</w:t>
      </w:r>
      <w:proofErr w:type="spellEnd"/>
      <w:r w:rsidRPr="005B3236">
        <w:rPr>
          <w:rFonts w:ascii="TimesNewRomanPSMT" w:hAnsi="TimesNewRomanPSMT"/>
          <w:b/>
          <w:sz w:val="22"/>
          <w:szCs w:val="22"/>
        </w:rPr>
        <w:t xml:space="preserve"> del sistema de carrera profesional horizontal </w:t>
      </w:r>
    </w:p>
    <w:p w:rsidR="00013F67" w:rsidRPr="005B3236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28.-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Comisión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de seguimiento,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coordinación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y </w:t>
      </w:r>
      <w:proofErr w:type="spellStart"/>
      <w:r w:rsidRPr="005B3236">
        <w:rPr>
          <w:rFonts w:ascii="TimesNewRomanPSMT" w:hAnsi="TimesNewRomanPSMT"/>
          <w:b/>
          <w:i/>
          <w:sz w:val="22"/>
          <w:szCs w:val="22"/>
        </w:rPr>
        <w:t>gestión</w:t>
      </w:r>
      <w:proofErr w:type="spellEnd"/>
      <w:r w:rsidRPr="005B3236">
        <w:rPr>
          <w:rFonts w:ascii="TimesNewRomanPSMT" w:hAnsi="TimesNewRomanPSMT"/>
          <w:b/>
          <w:i/>
          <w:sz w:val="22"/>
          <w:szCs w:val="22"/>
        </w:rPr>
        <w:t xml:space="preserve"> del sistema.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Para el seguimiento,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coordinación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gestión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sistema de carrera horizontal del Ayuntamiento de </w:t>
      </w:r>
      <w:r>
        <w:rPr>
          <w:rFonts w:ascii="TimesNewRomanPSMT" w:hAnsi="TimesNewRomanPSMT"/>
          <w:sz w:val="22"/>
          <w:szCs w:val="22"/>
        </w:rPr>
        <w:t xml:space="preserve">___________ </w:t>
      </w:r>
      <w:r w:rsidRPr="00D1197A">
        <w:rPr>
          <w:rFonts w:ascii="TimesNewRomanPSMT" w:hAnsi="TimesNewRomanPSMT"/>
          <w:sz w:val="22"/>
          <w:szCs w:val="22"/>
        </w:rPr>
        <w:t xml:space="preserve">se constituye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Seguimiento de la Carrera Profesional Horizontal.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Seguimiento de la Carrera Profesional Horizontal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estara</w:t>
      </w:r>
      <w:proofErr w:type="spellEnd"/>
      <w:r w:rsidRPr="00D1197A">
        <w:rPr>
          <w:rFonts w:ascii="TimesNewRomanPSMT" w:hAnsi="TimesNewRomanPSMT"/>
          <w:sz w:val="22"/>
          <w:szCs w:val="22"/>
        </w:rPr>
        <w:t>́ compuesta por: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a) Cinco miembros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Corporación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nombrados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Alcaldía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b) Un representante de cada una de las organizaciones sindicales integrantes de las Mesas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Negociación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contarán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con hasta 5 votos distribuidos de acuerdo con su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representación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las mismas. La Presidencia de esta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correspondera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a la persona que ostente las competencias en materia de Personal en el Ayuntamiento de </w:t>
      </w:r>
      <w:r>
        <w:rPr>
          <w:rFonts w:ascii="TimesNewRomanPSMT" w:hAnsi="TimesNewRomanPSMT"/>
          <w:sz w:val="22"/>
          <w:szCs w:val="22"/>
        </w:rPr>
        <w:t>___________.</w:t>
      </w:r>
    </w:p>
    <w:p w:rsidR="003A2159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br/>
      </w:r>
    </w:p>
    <w:p w:rsidR="003A2159" w:rsidRDefault="003A2159" w:rsidP="00013F67">
      <w:pPr>
        <w:pStyle w:val="NormalWeb"/>
        <w:rPr>
          <w:rFonts w:ascii="TimesNewRomanPSMT" w:hAnsi="TimesNewRomanPSMT"/>
          <w:sz w:val="22"/>
          <w:szCs w:val="22"/>
        </w:rPr>
      </w:pPr>
    </w:p>
    <w:p w:rsidR="00080403" w:rsidRDefault="00080403" w:rsidP="00013F67">
      <w:pPr>
        <w:pStyle w:val="NormalWeb"/>
        <w:rPr>
          <w:rFonts w:ascii="TimesNewRomanPSMT" w:hAnsi="TimesNewRomanPSMT"/>
          <w:sz w:val="22"/>
          <w:szCs w:val="22"/>
        </w:rPr>
      </w:pP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3. La Presidencia convocará las reuniones que sean necesarias para ejercer sus funciones con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antelación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mínima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48 horas, fijando el orden del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el cual, en todo caso,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incluirán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los puntos solicitados por cualquiera de las partes u organizaciones sindicales con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antelación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siete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días</w:t>
      </w:r>
      <w:proofErr w:type="spellEnd"/>
      <w:r w:rsidRPr="00D1197A">
        <w:rPr>
          <w:rFonts w:ascii="TimesNewRomanPSMT" w:hAnsi="TimesNewRomanPSMT"/>
          <w:sz w:val="22"/>
          <w:szCs w:val="22"/>
        </w:rPr>
        <w:t>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La Presidencia, 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petición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parte sindical convocará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reunión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se celebrará en el plazo improrrogable de un mes, y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incluira</w:t>
      </w:r>
      <w:proofErr w:type="spellEnd"/>
      <w:r w:rsidRPr="00D1197A">
        <w:rPr>
          <w:rFonts w:ascii="TimesNewRomanPSMT" w:hAnsi="TimesNewRomanPSMT"/>
          <w:sz w:val="22"/>
          <w:szCs w:val="22"/>
        </w:rPr>
        <w:t>́ obligatoriamente los puntos que la parte sindical haya solicitado tratar.</w:t>
      </w:r>
    </w:p>
    <w:p w:rsidR="00013F67" w:rsidRPr="00D1197A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4. En todo lo no previsto en este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artículo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estara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a lo dispuesto para los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órganos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colegiados en la Ley 40/2015, de 1 de octubre,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Régimen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Jurídico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Sector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5. Contará con la asistencia del secretario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Corporación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o funcionario en quien delegue, que actuará con voz y sin voto.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6. Igualmente,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Comisión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Seguimiento de la Carrera Profesional Horizontal actuará como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Comisión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Paritaria para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interpretación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presente acuerdo. En los casos que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actúe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como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Comisión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Paritaria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adopción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acuerdos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requerira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mayoría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las dos representaciones: miembros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Corporación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sindicatos, respectivamente. </w:t>
      </w:r>
    </w:p>
    <w:p w:rsidR="00013F67" w:rsidRPr="005B3236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  <w:t>DISPOSICIONES ADICIONALES</w:t>
      </w:r>
    </w:p>
    <w:p w:rsidR="00013F67" w:rsidRPr="005B3236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Adicional Primera. Personal procedente de otras administraciones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públicas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1. El personal de otras administraciones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que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desempeñe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puestos de trabajo en 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___________,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provisionalmente o de forma temporal, no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tendra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́ derecho a acceder al sistema de carrera profesional horizontal previsto en el presente acuerdo.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Al personal que acceda 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condición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funcionaria o funcionario de carrera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___________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mediante concurso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movilidad o permuta se le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reconocera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progresión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alcanzada en el sistema de carrera horizontal de su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origen, de acuerdo con el principio de reciprocidad y los instrumentos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colaboración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que puedan ser suscritos. 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ningún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caso este personal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percibir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retribución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alguna en concepto de complemento de carrera administrativa con cargo a los presupuestos del Ayuntamiento, en tanto en cuanto el sistema regulado mediante este acuerdo no se implante plenamente para el personal incluido en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aplicación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mismo.</w:t>
      </w:r>
    </w:p>
    <w:p w:rsidR="00013F67" w:rsidRPr="005B3236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Adicional Segunda. Devengo y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percepción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del complemento de carrera administrativa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devengo y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percepción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complemento de carrera administrativa correspondiente al grado de desarrollo profesional reconocido tras el acceso inicial al sistema,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hara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efectivo a partir del 1 de enero de 2019, de acuerdo con lo dispuesto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transitoria quinta de este acuerdo.</w:t>
      </w:r>
    </w:p>
    <w:p w:rsidR="00013F67" w:rsidRPr="005B3236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Adicional Tercera. Complemento de Destino y GDP.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Si por cambios normativos estatales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autonómicos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las retribuciones correspondientes al nivel de complemento de destino se sustituyeran en todo o en parte por el sistema retributivo de carrera profesional, las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cuantías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que retribuyen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ésta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adaptarán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forma que este cambio normativo no implique una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disminución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las retribuciones totales del personal, siempre que esa posible normativa no lo impida.</w:t>
      </w: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</w:p>
    <w:p w:rsidR="00013F67" w:rsidRPr="005B3236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b/>
          <w:sz w:val="22"/>
          <w:szCs w:val="22"/>
          <w:lang w:val="es-ES" w:eastAsia="es-ES_tradnl"/>
        </w:rPr>
        <w:t>DISPOSICIONES TRANSITORIAS</w:t>
      </w:r>
    </w:p>
    <w:p w:rsidR="00013F67" w:rsidRPr="005B3236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</w:pP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Transitoria Primera - Encuadramiento del personal incluido en el </w:t>
      </w:r>
      <w:proofErr w:type="spellStart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b/>
          <w:i/>
          <w:sz w:val="22"/>
          <w:szCs w:val="22"/>
          <w:lang w:val="es-ES" w:eastAsia="es-ES_tradnl"/>
        </w:rPr>
        <w:t xml:space="preserve"> del presente acuerdo en los grados de desarrollo profesional de la carrera horizontal.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1,.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El personal que a la entrada en vigor del presente acuerdo se encuentre prestando servicios para 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___________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como personal funcionario de carrera, interino, o contratado laboral fijo o temporal,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situación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servicio activo o asimilable, a salvo del expresamente exceptuado, se incorporará en el GDP correspondiente siempre que dentro del plazo de 2 meses desde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aprobación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por el Pleno del mismo, acredite el cumplimiento de los siguientes requisitos: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a.-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Tener reconocida, de acuerdo con los datos que consten en el Registro de Personal de este Ayuntamiento,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antigüedad</w:t>
      </w:r>
      <w:proofErr w:type="spellEnd"/>
    </w:p>
    <w:tbl>
      <w:tblPr>
        <w:tblW w:w="0" w:type="auto"/>
        <w:tblInd w:w="1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</w:tblGrid>
      <w:tr w:rsidR="00013F67" w:rsidRPr="00D713F4" w:rsidTr="006F02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proofErr w:type="spellStart"/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Antigüedad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_tradnl"/>
              </w:rPr>
              <w:t>GDP</w:t>
            </w:r>
          </w:p>
        </w:tc>
      </w:tr>
      <w:tr w:rsidR="00013F67" w:rsidRPr="00D713F4" w:rsidTr="006F02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A60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 xml:space="preserve">Menos de 5 </w:t>
            </w:r>
            <w:proofErr w:type="spellStart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años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GDP de acceso</w:t>
            </w:r>
          </w:p>
        </w:tc>
      </w:tr>
      <w:tr w:rsidR="00013F67" w:rsidRPr="00D713F4" w:rsidTr="006F02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 xml:space="preserve">5 </w:t>
            </w:r>
            <w:proofErr w:type="spellStart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años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GDP I</w:t>
            </w:r>
          </w:p>
        </w:tc>
      </w:tr>
      <w:tr w:rsidR="00013F67" w:rsidRPr="00D713F4" w:rsidTr="006F02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 xml:space="preserve">10 </w:t>
            </w:r>
            <w:proofErr w:type="spellStart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años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GDP II</w:t>
            </w:r>
          </w:p>
        </w:tc>
      </w:tr>
      <w:tr w:rsidR="00013F67" w:rsidRPr="00D713F4" w:rsidTr="006F02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 xml:space="preserve">16 </w:t>
            </w:r>
            <w:proofErr w:type="spellStart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años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GDP III</w:t>
            </w:r>
          </w:p>
        </w:tc>
      </w:tr>
      <w:tr w:rsidR="00013F67" w:rsidRPr="00D713F4" w:rsidTr="006F02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 xml:space="preserve">22 </w:t>
            </w:r>
            <w:proofErr w:type="spellStart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años</w:t>
            </w:r>
            <w:proofErr w:type="spellEnd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 xml:space="preserve"> o </w:t>
            </w:r>
            <w:proofErr w:type="spellStart"/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más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Calibri" w:eastAsia="Times New Roman" w:hAnsi="Calibri" w:cs="Times New Roman"/>
                <w:sz w:val="22"/>
                <w:szCs w:val="22"/>
                <w:lang w:val="es-ES" w:eastAsia="es-ES_tradnl"/>
              </w:rPr>
              <w:t>GDP IV</w:t>
            </w:r>
          </w:p>
        </w:tc>
      </w:tr>
    </w:tbl>
    <w:p w:rsidR="00013F67" w:rsidRPr="00D713F4" w:rsidRDefault="00013F67" w:rsidP="00013F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b. Para acceder a los GDP I y II, poseer al menos 1 de alguno de los siguientes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: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1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Certificado, como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C1 o equivalente de conocimiento del valenciano expedido u homologado por la Junta Calificadora de Conocimientos de Valenciano. </w:t>
      </w:r>
    </w:p>
    <w:p w:rsidR="00013F67" w:rsidRDefault="00013F67" w:rsidP="00013F67">
      <w:pPr>
        <w:spacing w:before="100" w:beforeAutospacing="1" w:after="100" w:afterAutospacing="1"/>
        <w:ind w:left="284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2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accedido a un puesto de un grupo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titulación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superior o a un cuerpo o escala de un grupo o subgrupo profesional superior, dentro del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__________</w:t>
      </w:r>
      <w:proofErr w:type="gramStart"/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_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.</w:t>
      </w:r>
      <w:proofErr w:type="gramEnd"/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3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cursado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horas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perfeccionamiento, establecido en el art. 24.5, en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últimos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veinte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en cursos que hayan sido convocados u homologados por cualquier centro u organismo oficial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o de este Ayuntamiento. A estos efectos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válidos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los cursos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másteres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realizados en las Universidades, siempre que guarden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ejercicio de sus competencias. 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4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cursado 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mínimo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100 horas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perfeccionamiento, establecido en el art. 24.5, en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últimos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veinte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en cursos que hayan sido convocados u homologados por cualquier centro u organismo oficial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o de este Ayuntamiento. A estos efectos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válidos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los cursos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másteres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realizados en las Universidades, siempre que guarden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relación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ejercicio de sus competencias. 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5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participado como docente, en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últimos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veinte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en cursos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y perfeccionamiento que hayan sido convocados u homologados por cualquier centro u organismo oficial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personal empleado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de acuerdo con la equivalencia establecida en el art. 24.5. </w:t>
      </w:r>
    </w:p>
    <w:p w:rsidR="003A2159" w:rsidRDefault="00013F67" w:rsidP="00013F67">
      <w:pPr>
        <w:spacing w:before="100" w:beforeAutospacing="1" w:after="100" w:afterAutospacing="1"/>
        <w:ind w:left="284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6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Certificación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conocimientos de un idioma comunitario del Marco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común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europeo de referencia para las lenguas o las equivalencias legalmente establecidas, expedido por la Escuelas Oficiales de Idiomas o por alguna de las Universidades y Centros previstos en el Decreto 61/2013, de 17 de mayo, del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Consell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por el que se establece un sistema de reconocimiento de la competencia en lenguas extranjeras en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Comunitat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</w:p>
    <w:p w:rsidR="003A2159" w:rsidRDefault="003A2159" w:rsidP="00013F67">
      <w:pPr>
        <w:spacing w:before="100" w:beforeAutospacing="1" w:after="100" w:afterAutospacing="1"/>
        <w:ind w:left="284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ind w:left="284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ind w:left="284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Valenciana superior al exigido para el acceso al puesto que actualmente se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desempeña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u otro de un idioma distinto. 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7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Publicaciones relacionadas con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Administración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gestión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servicio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o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atención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ciudadanía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con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depósito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legal y editadas por un organismo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, durante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últimos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veinte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8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Participar como autor o coautor en proyectos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investigación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competitivos y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presentación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ponencias y comunicaciones en congresos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científicos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durante los veinte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inmediatamente anteriores. </w:t>
      </w:r>
    </w:p>
    <w:p w:rsidR="00013F67" w:rsidRDefault="00013F67" w:rsidP="00013F67">
      <w:pPr>
        <w:spacing w:before="100" w:beforeAutospacing="1" w:after="100" w:afterAutospacing="1"/>
        <w:ind w:left="284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9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Estar en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posesión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una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titulación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académica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superior o de una segunda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titulación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académica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igual a la necesaria para el acceso al cuerpo profesional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categoría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la persona interesada.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10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recibido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formación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20 horas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igualdad o violencia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género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11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ocupado un puesto de trabajo distinto al del primer nombramiento o contrato dentro del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ámbito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___________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y/o haber ocupado un puesto al que se le hayan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añadido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funciones distintas a las que contaba en el momento de su toma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posesión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contratación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Pr="00D713F4" w:rsidRDefault="00013F67" w:rsidP="00013F6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12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º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Haber sido felicitado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públicamente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por 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___________ </w:t>
      </w: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por actos meritorios relacionados con el ejercicio del cargo, a salvo de aquellos que se deban simplemente a la permanencia durante un determinado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período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cumplimiento </w:t>
      </w:r>
      <w:proofErr w:type="gram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del mismo</w:t>
      </w:r>
      <w:proofErr w:type="gram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c. Para acceder al GDP III, poseer, al menos, 2 de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señalados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apartado b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d. Para acceder al GDP IV, poseer, al menos, 3 de los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méritos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señalados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el apartado b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2. El personal que cuente con 30 o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más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años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 servicio en el Ayuntamiento de </w:t>
      </w:r>
      <w:r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___________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tendra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́ derecho a promocionar un grado respecto al que le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correspondería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conforme a lo dispuesto en los apartados anteriores. 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3. Los efectos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económicos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personal que se integre dentro del plazo mencionado en el apartado primero de esta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en alguno de los grados de desarrollo profesional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tendrán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eficacia retroactiva a fecha 1 de enero de 2019. </w:t>
      </w:r>
    </w:p>
    <w:p w:rsidR="00013F67" w:rsidRDefault="00013F67" w:rsidP="00013F67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4. Excepcionalmente las personas interesadas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podrán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acreditar el cumplimiento de los requisitos previstos en el apartado uno de esta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Disposición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dentro del plazo de 12 meses desde la </w:t>
      </w:r>
      <w:proofErr w:type="spellStart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>aprobación</w:t>
      </w:r>
      <w:proofErr w:type="spellEnd"/>
      <w:r w:rsidRPr="00D713F4">
        <w:rPr>
          <w:rFonts w:ascii="TimesNewRomanPSMT" w:eastAsia="Times New Roman" w:hAnsi="TimesNewRomanPSMT" w:cs="Times New Roman"/>
          <w:sz w:val="22"/>
          <w:szCs w:val="22"/>
          <w:lang w:val="es-ES" w:eastAsia="es-ES_tradnl"/>
        </w:rPr>
        <w:t xml:space="preserve"> del </w:t>
      </w:r>
      <w:r w:rsidRPr="00D1197A">
        <w:rPr>
          <w:rFonts w:ascii="TimesNewRomanPSMT" w:hAnsi="TimesNewRomanPSMT"/>
          <w:sz w:val="22"/>
          <w:szCs w:val="22"/>
        </w:rPr>
        <w:t xml:space="preserve">presente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acuerdo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por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Pleno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Corporación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cuyo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caso los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efectos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económicos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producirán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desde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fecha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solicitud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013F67" w:rsidRPr="00ED75DA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2"/>
          <w:szCs w:val="22"/>
          <w:lang w:val="es-ES" w:eastAsia="es-ES_tradnl"/>
        </w:rPr>
      </w:pP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Transitoria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Segunda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.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Acceso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al sistema del personal que a la entrada en vigor de este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acuerdo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tenga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la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condición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 personal del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Ayuntamiento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 </w:t>
      </w:r>
      <w:r>
        <w:rPr>
          <w:rFonts w:ascii="TimesNewRomanPSMT" w:hAnsi="TimesNewRomanPSMT"/>
          <w:b/>
          <w:i/>
          <w:sz w:val="22"/>
          <w:szCs w:val="22"/>
        </w:rPr>
        <w:t xml:space="preserve">___________ </w:t>
      </w:r>
      <w:r w:rsidRPr="00ED75DA">
        <w:rPr>
          <w:rFonts w:ascii="TimesNewRomanPSMT" w:hAnsi="TimesNewRomanPSMT"/>
          <w:b/>
          <w:i/>
          <w:sz w:val="22"/>
          <w:szCs w:val="22"/>
        </w:rPr>
        <w:t xml:space="preserve"> en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cualquiera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 las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situaciones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previstas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en el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apartado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3 del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artículo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10,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asi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́ como del personal en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situación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excedencia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voluntaria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por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interés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particular. 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incorporación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al sistema del personal que, a la entrada en vigor de este acuerdo, tenga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condición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funcionario o contratado laboral del Ayuntamiento de </w:t>
      </w:r>
      <w:r>
        <w:rPr>
          <w:rFonts w:ascii="TimesNewRomanPSMT" w:hAnsi="TimesNewRomanPSMT"/>
          <w:sz w:val="22"/>
          <w:szCs w:val="22"/>
        </w:rPr>
        <w:t xml:space="preserve">___________ </w:t>
      </w:r>
      <w:r w:rsidRPr="00D1197A">
        <w:rPr>
          <w:rFonts w:ascii="TimesNewRomanPSMT" w:hAnsi="TimesNewRomanPSMT"/>
          <w:sz w:val="22"/>
          <w:szCs w:val="22"/>
        </w:rPr>
        <w:t xml:space="preserve"> y se encuentre en cualquiera de las situaciones relacionadas en el apartado 3 del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artículo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10 del mismo, o bien en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situación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excedencia voluntaria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interés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particular, o en su caso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servicios en otras Administraciones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producira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mediante solicitud, cursada dentro del plazo de 2 meses desde que se produzca su reingreso al servicio activo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reincorporación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por </w:t>
      </w:r>
      <w:proofErr w:type="spellStart"/>
      <w:r w:rsidRPr="00D1197A">
        <w:rPr>
          <w:rFonts w:ascii="TimesNewRomanPSMT" w:hAnsi="TimesNewRomanPSMT"/>
          <w:sz w:val="22"/>
          <w:szCs w:val="22"/>
        </w:rPr>
        <w:t>finalización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servicios, siempre que, en dicha fecha, este personal cumpla los requisitos establecidos en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disposición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transitoria primera. </w:t>
      </w: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013F67" w:rsidRPr="00ED75DA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Transitoria Tercera. Procedimiento para el acceso al sistema del personal que a la entrada en vigor de este acuerdo tenga la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condición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 personal del Ayuntamiento de </w:t>
      </w:r>
      <w:r>
        <w:rPr>
          <w:rFonts w:ascii="TimesNewRomanPSMT" w:hAnsi="TimesNewRomanPSMT"/>
          <w:b/>
          <w:i/>
          <w:sz w:val="22"/>
          <w:szCs w:val="22"/>
        </w:rPr>
        <w:t>___________.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tramitación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instrucción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procedimiento de acceso al sistema previsto en las disposiciones transitorias primera y segunda del presente acuerdo se efectuará de conformidad con lo establecido en la presente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Disposición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y en la Ley 39/2015, de 1 de octubre, del Procedimiento Administrativo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Común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las Administraciones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Públicas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con las siguientes particularidades: </w:t>
      </w:r>
    </w:p>
    <w:p w:rsidR="00013F67" w:rsidRPr="00ED75DA" w:rsidRDefault="00013F67" w:rsidP="00013F67">
      <w:pPr>
        <w:pStyle w:val="NormalWeb"/>
        <w:numPr>
          <w:ilvl w:val="0"/>
          <w:numId w:val="1"/>
        </w:numPr>
        <w:ind w:hanging="294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Dentro de los plazos previstos en las disposiciones transitorias anteriores, contados desde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aprobación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por el Pleno del presente acuerdo o desde el reingreso al servicio activo, el personal incluido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aplicación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mismo que, con </w:t>
      </w:r>
      <w:proofErr w:type="spellStart"/>
      <w:r w:rsidRPr="00D1197A">
        <w:rPr>
          <w:rFonts w:ascii="TimesNewRomanPSMT" w:hAnsi="TimesNewRomanPSMT"/>
          <w:sz w:val="22"/>
          <w:szCs w:val="22"/>
        </w:rPr>
        <w:t>carácter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voluntario quiera acceder al sistema de carrera profesional por una de estas </w:t>
      </w:r>
      <w:proofErr w:type="spellStart"/>
      <w:r w:rsidRPr="00D1197A">
        <w:rPr>
          <w:rFonts w:ascii="TimesNewRomanPSMT" w:hAnsi="TimesNewRomanPSMT"/>
          <w:sz w:val="22"/>
          <w:szCs w:val="22"/>
        </w:rPr>
        <w:t>vías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debera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presentar una solicitud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acompañada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toda aquella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documentación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acredite el cumplimiento de los requisitos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señalados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Disposición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Transitoria Primera, a salvo de la que ya obre en poder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Administración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en cuyo caso bastará con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señalarla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013F67" w:rsidRPr="00ED75DA" w:rsidRDefault="00013F67" w:rsidP="00013F67">
      <w:pPr>
        <w:pStyle w:val="NormalWeb"/>
        <w:numPr>
          <w:ilvl w:val="0"/>
          <w:numId w:val="1"/>
        </w:numPr>
        <w:ind w:hanging="294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En el caso de que medie </w:t>
      </w:r>
      <w:proofErr w:type="spellStart"/>
      <w:r w:rsidRPr="00D1197A">
        <w:rPr>
          <w:rFonts w:ascii="TimesNewRomanPSMT" w:hAnsi="TimesNewRomanPSMT"/>
          <w:sz w:val="22"/>
          <w:szCs w:val="22"/>
        </w:rPr>
        <w:t>más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una solicitud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entendera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Pr="00D1197A">
        <w:rPr>
          <w:rFonts w:ascii="TimesNewRomanPSMT" w:hAnsi="TimesNewRomanPSMT"/>
          <w:sz w:val="22"/>
          <w:szCs w:val="22"/>
        </w:rPr>
        <w:t>válida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la presentada en </w:t>
      </w:r>
      <w:proofErr w:type="spellStart"/>
      <w:r w:rsidRPr="00D1197A">
        <w:rPr>
          <w:rFonts w:ascii="TimesNewRomanPSMT" w:hAnsi="TimesNewRomanPSMT"/>
          <w:sz w:val="22"/>
          <w:szCs w:val="22"/>
        </w:rPr>
        <w:t>último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lugar.</w:t>
      </w:r>
    </w:p>
    <w:p w:rsidR="00013F67" w:rsidRPr="00ED75DA" w:rsidRDefault="00013F67" w:rsidP="00013F67">
      <w:pPr>
        <w:pStyle w:val="NormalWeb"/>
        <w:numPr>
          <w:ilvl w:val="0"/>
          <w:numId w:val="1"/>
        </w:numPr>
        <w:ind w:hanging="294"/>
        <w:rPr>
          <w:sz w:val="22"/>
          <w:szCs w:val="22"/>
        </w:rPr>
      </w:pPr>
      <w:r w:rsidRPr="00ED75DA">
        <w:rPr>
          <w:rFonts w:ascii="TimesNewRomanPSMT" w:hAnsi="TimesNewRomanPSMT"/>
          <w:sz w:val="22"/>
          <w:szCs w:val="22"/>
        </w:rPr>
        <w:t xml:space="preserve">La Presidencia de la </w:t>
      </w:r>
      <w:proofErr w:type="spellStart"/>
      <w:r w:rsidRPr="00ED75DA">
        <w:rPr>
          <w:rFonts w:ascii="TimesNewRomanPSMT" w:hAnsi="TimesNewRomanPSMT"/>
          <w:sz w:val="22"/>
          <w:szCs w:val="22"/>
        </w:rPr>
        <w:t>Corporación</w:t>
      </w:r>
      <w:proofErr w:type="spellEnd"/>
      <w:r w:rsidRPr="00ED75DA">
        <w:rPr>
          <w:rFonts w:ascii="TimesNewRomanPSMT" w:hAnsi="TimesNewRomanPSMT"/>
          <w:sz w:val="22"/>
          <w:szCs w:val="22"/>
        </w:rPr>
        <w:t xml:space="preserve"> dictará </w:t>
      </w:r>
      <w:proofErr w:type="spellStart"/>
      <w:r w:rsidRPr="00ED75DA">
        <w:rPr>
          <w:rFonts w:ascii="TimesNewRomanPSMT" w:hAnsi="TimesNewRomanPSMT"/>
          <w:sz w:val="22"/>
          <w:szCs w:val="22"/>
        </w:rPr>
        <w:t>resolución</w:t>
      </w:r>
      <w:proofErr w:type="spellEnd"/>
      <w:r w:rsidRPr="00ED75DA">
        <w:rPr>
          <w:rFonts w:ascii="TimesNewRomanPSMT" w:hAnsi="TimesNewRomanPSMT"/>
          <w:sz w:val="22"/>
          <w:szCs w:val="22"/>
        </w:rPr>
        <w:t xml:space="preserve">, previa audiencia a los interesados en el caso de que existan discrepancias o no quede suficientemente acreditado el GDP solicitado, por la que se </w:t>
      </w:r>
      <w:proofErr w:type="spellStart"/>
      <w:r w:rsidRPr="00ED75DA">
        <w:rPr>
          <w:rFonts w:ascii="TimesNewRomanPSMT" w:hAnsi="TimesNewRomanPSMT"/>
          <w:sz w:val="22"/>
          <w:szCs w:val="22"/>
        </w:rPr>
        <w:t>reconocera</w:t>
      </w:r>
      <w:proofErr w:type="spellEnd"/>
      <w:r w:rsidRPr="00ED75DA">
        <w:rPr>
          <w:rFonts w:ascii="TimesNewRomanPSMT" w:hAnsi="TimesNewRomanPSMT"/>
          <w:sz w:val="22"/>
          <w:szCs w:val="22"/>
        </w:rPr>
        <w:t xml:space="preserve">́ al personal el GDP que proceda en cada caso, y la notificará, en el plazo </w:t>
      </w:r>
      <w:proofErr w:type="spellStart"/>
      <w:r w:rsidRPr="00ED75DA">
        <w:rPr>
          <w:rFonts w:ascii="TimesNewRomanPSMT" w:hAnsi="TimesNewRomanPSMT"/>
          <w:sz w:val="22"/>
          <w:szCs w:val="22"/>
        </w:rPr>
        <w:t>máximo</w:t>
      </w:r>
      <w:proofErr w:type="spellEnd"/>
      <w:r w:rsidRPr="00ED75DA">
        <w:rPr>
          <w:rFonts w:ascii="TimesNewRomanPSMT" w:hAnsi="TimesNewRomanPSMT"/>
          <w:sz w:val="22"/>
          <w:szCs w:val="22"/>
        </w:rPr>
        <w:t xml:space="preserve"> de tres meses a contar desde la fecha de la solicitud. Los efectos, de la falta de </w:t>
      </w:r>
      <w:proofErr w:type="spellStart"/>
      <w:r w:rsidRPr="00ED75DA">
        <w:rPr>
          <w:rFonts w:ascii="TimesNewRomanPSMT" w:hAnsi="TimesNewRomanPSMT"/>
          <w:sz w:val="22"/>
          <w:szCs w:val="22"/>
        </w:rPr>
        <w:t>resolución</w:t>
      </w:r>
      <w:proofErr w:type="spellEnd"/>
      <w:r w:rsidRPr="00ED75DA">
        <w:rPr>
          <w:rFonts w:ascii="TimesNewRomanPSMT" w:hAnsi="TimesNewRomanPSMT"/>
          <w:sz w:val="22"/>
          <w:szCs w:val="22"/>
        </w:rPr>
        <w:t xml:space="preserve"> expresa, </w:t>
      </w:r>
      <w:proofErr w:type="spellStart"/>
      <w:r w:rsidRPr="00ED75DA">
        <w:rPr>
          <w:rFonts w:ascii="TimesNewRomanPSMT" w:hAnsi="TimesNewRomanPSMT"/>
          <w:sz w:val="22"/>
          <w:szCs w:val="22"/>
        </w:rPr>
        <w:t>serán</w:t>
      </w:r>
      <w:proofErr w:type="spellEnd"/>
      <w:r w:rsidRPr="00ED75DA">
        <w:rPr>
          <w:rFonts w:ascii="TimesNewRomanPSMT" w:hAnsi="TimesNewRomanPSMT"/>
          <w:sz w:val="22"/>
          <w:szCs w:val="22"/>
        </w:rPr>
        <w:t xml:space="preserve"> estimatorios. </w:t>
      </w:r>
    </w:p>
    <w:p w:rsidR="00013F67" w:rsidRPr="00D1197A" w:rsidRDefault="00013F67" w:rsidP="00013F67">
      <w:pPr>
        <w:pStyle w:val="NormalWeb"/>
        <w:numPr>
          <w:ilvl w:val="0"/>
          <w:numId w:val="1"/>
        </w:numPr>
        <w:ind w:hanging="294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El personal incluido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ámbito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aplicación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presente acuerdo, que no se incorpore al sistema de carrera dentro de los plazos previstos en las Disposiciones transitorias anteriores, </w:t>
      </w:r>
      <w:proofErr w:type="spellStart"/>
      <w:r w:rsidRPr="00D1197A">
        <w:rPr>
          <w:rFonts w:ascii="TimesNewRomanPSMT" w:hAnsi="TimesNewRomanPSMT"/>
          <w:sz w:val="22"/>
          <w:szCs w:val="22"/>
        </w:rPr>
        <w:t>podra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hacerlo en un momento posterior, si bien en ese caso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estara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a lo dispuesto en el articulado. </w:t>
      </w:r>
    </w:p>
    <w:p w:rsidR="00013F67" w:rsidRPr="00ED75DA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Transitoria Cuarta.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Período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 permanencia en el GDP inferior para el acceso al siguiente Grado del personal incluido en el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ámbito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del presente acuerdo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Hasta transcurridos 3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después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cumplimiento del plazo ordinario para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incorporación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a la carrera profesional </w:t>
      </w:r>
      <w:proofErr w:type="spellStart"/>
      <w:r w:rsidRPr="00D1197A">
        <w:rPr>
          <w:rFonts w:ascii="TimesNewRomanPSMT" w:hAnsi="TimesNewRomanPSMT"/>
          <w:sz w:val="22"/>
          <w:szCs w:val="22"/>
        </w:rPr>
        <w:t>señalado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el apartado primero de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Disposición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transitoria primera, el personal que cumpla los requisitos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antigüedad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para alcanzar un grado superior al del encuadre inicial no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tendra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que esperar al transcurso de los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permanencia en el GDP inferior a que hace referencia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artículo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9, siempre que obtenga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puntuación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mínima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12 puntos por cada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le reste para alcanzar dicha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antigüedad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respecto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puntuación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total establecida en el Anexo II de este acuerdo. </w:t>
      </w:r>
    </w:p>
    <w:p w:rsidR="00013F67" w:rsidRPr="00ED75DA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Transitoria Quinta.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Implantación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progresiva del sistema de carrera horizontal.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Se establece un periodo transitorio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implantación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progresiva del sistema, que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tendra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una </w:t>
      </w:r>
      <w:proofErr w:type="spellStart"/>
      <w:r w:rsidRPr="00D1197A">
        <w:rPr>
          <w:rFonts w:ascii="TimesNewRomanPSMT" w:hAnsi="TimesNewRomanPSMT"/>
          <w:sz w:val="22"/>
          <w:szCs w:val="22"/>
        </w:rPr>
        <w:t>duración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cinco ejercicios presupuestarios a contar desde el </w:t>
      </w:r>
      <w:r>
        <w:rPr>
          <w:rFonts w:ascii="TimesNewRomanPSMT" w:hAnsi="TimesNewRomanPSMT"/>
          <w:sz w:val="22"/>
          <w:szCs w:val="22"/>
        </w:rPr>
        <w:t>01</w:t>
      </w:r>
      <w:r w:rsidRPr="00D1197A">
        <w:rPr>
          <w:rFonts w:ascii="TimesNewRomanPSMT" w:hAnsi="TimesNewRomanPSMT"/>
          <w:sz w:val="22"/>
          <w:szCs w:val="22"/>
        </w:rPr>
        <w:t xml:space="preserve"> de </w:t>
      </w:r>
      <w:r>
        <w:rPr>
          <w:rFonts w:ascii="TimesNewRomanPSMT" w:hAnsi="TimesNewRomanPSMT"/>
          <w:sz w:val="22"/>
          <w:szCs w:val="22"/>
        </w:rPr>
        <w:t xml:space="preserve">enero </w:t>
      </w:r>
      <w:r w:rsidRPr="00D1197A">
        <w:rPr>
          <w:rFonts w:ascii="TimesNewRomanPSMT" w:hAnsi="TimesNewRomanPSMT"/>
          <w:sz w:val="22"/>
          <w:szCs w:val="22"/>
        </w:rPr>
        <w:t>de 2</w:t>
      </w:r>
      <w:r>
        <w:rPr>
          <w:rFonts w:ascii="TimesNewRomanPSMT" w:hAnsi="TimesNewRomanPSMT"/>
          <w:sz w:val="22"/>
          <w:szCs w:val="22"/>
        </w:rPr>
        <w:t>0____</w:t>
      </w:r>
      <w:r w:rsidRPr="00D1197A">
        <w:rPr>
          <w:rFonts w:ascii="TimesNewRomanPSMT" w:hAnsi="TimesNewRomanPSMT"/>
          <w:sz w:val="22"/>
          <w:szCs w:val="22"/>
        </w:rPr>
        <w:t>.</w:t>
      </w:r>
      <w:r w:rsidRPr="00D1197A">
        <w:rPr>
          <w:rFonts w:ascii="TimesNewRomanPSMT" w:hAnsi="TimesNewRomanPSMT"/>
          <w:sz w:val="22"/>
          <w:szCs w:val="22"/>
        </w:rPr>
        <w:br/>
        <w:t xml:space="preserve">2. Durante este periodo transitorio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percibirán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los siguientes porcentajes del importe del complemento de carrera administrativa asignado anualmente para el grupo, subgrupo o </w:t>
      </w:r>
      <w:proofErr w:type="spellStart"/>
      <w:r w:rsidRPr="00D1197A">
        <w:rPr>
          <w:rFonts w:ascii="TimesNewRomanPSMT" w:hAnsi="TimesNewRomanPSMT"/>
          <w:sz w:val="22"/>
          <w:szCs w:val="22"/>
        </w:rPr>
        <w:t>agrupación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profesional a que se pertenezca: </w:t>
      </w:r>
    </w:p>
    <w:p w:rsidR="00013F67" w:rsidRDefault="00013F67" w:rsidP="00013F67">
      <w:pPr>
        <w:pStyle w:val="NormalWeb"/>
        <w:spacing w:before="120" w:beforeAutospacing="0" w:after="120" w:afterAutospacing="0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a) Entre el 1 de enero y el 31 de diciembre de 20</w:t>
      </w:r>
      <w:r>
        <w:rPr>
          <w:rFonts w:ascii="TimesNewRomanPSMT" w:hAnsi="TimesNewRomanPSMT"/>
          <w:sz w:val="22"/>
          <w:szCs w:val="22"/>
        </w:rPr>
        <w:t>___</w:t>
      </w:r>
      <w:r w:rsidRPr="00D1197A">
        <w:rPr>
          <w:rFonts w:ascii="TimesNewRomanPSMT" w:hAnsi="TimesNewRomanPSMT"/>
          <w:sz w:val="22"/>
          <w:szCs w:val="22"/>
        </w:rPr>
        <w:t>, un 20%</w:t>
      </w:r>
    </w:p>
    <w:p w:rsidR="00013F67" w:rsidRDefault="00013F67" w:rsidP="00013F67">
      <w:pPr>
        <w:pStyle w:val="NormalWeb"/>
        <w:spacing w:before="120" w:beforeAutospacing="0" w:after="120" w:afterAutospacing="0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b) Entre el 1 de enero y el 31 de diciembre de 20</w:t>
      </w:r>
      <w:r>
        <w:rPr>
          <w:rFonts w:ascii="TimesNewRomanPSMT" w:hAnsi="TimesNewRomanPSMT"/>
          <w:sz w:val="22"/>
          <w:szCs w:val="22"/>
        </w:rPr>
        <w:t>___</w:t>
      </w:r>
      <w:r w:rsidRPr="00D1197A">
        <w:rPr>
          <w:rFonts w:ascii="TimesNewRomanPSMT" w:hAnsi="TimesNewRomanPSMT"/>
          <w:sz w:val="22"/>
          <w:szCs w:val="22"/>
        </w:rPr>
        <w:t>, un 40%</w:t>
      </w:r>
    </w:p>
    <w:p w:rsidR="00013F67" w:rsidRDefault="00013F67" w:rsidP="00013F67">
      <w:pPr>
        <w:pStyle w:val="NormalWeb"/>
        <w:spacing w:before="120" w:beforeAutospacing="0" w:after="120" w:afterAutospacing="0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c) Entre el 1 de enero y el 31 de diciembre de 20</w:t>
      </w:r>
      <w:r>
        <w:rPr>
          <w:rFonts w:ascii="TimesNewRomanPSMT" w:hAnsi="TimesNewRomanPSMT"/>
          <w:sz w:val="22"/>
          <w:szCs w:val="22"/>
        </w:rPr>
        <w:t>___</w:t>
      </w:r>
      <w:r w:rsidRPr="00D1197A">
        <w:rPr>
          <w:rFonts w:ascii="TimesNewRomanPSMT" w:hAnsi="TimesNewRomanPSMT"/>
          <w:sz w:val="22"/>
          <w:szCs w:val="22"/>
        </w:rPr>
        <w:t>, un 65%</w:t>
      </w:r>
    </w:p>
    <w:p w:rsidR="00013F67" w:rsidRPr="00D1197A" w:rsidRDefault="00013F67" w:rsidP="00013F67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d) Entre el 1 de enero y el 31 de diciembre de 20</w:t>
      </w:r>
      <w:r>
        <w:rPr>
          <w:rFonts w:ascii="TimesNewRomanPSMT" w:hAnsi="TimesNewRomanPSMT"/>
          <w:sz w:val="22"/>
          <w:szCs w:val="22"/>
        </w:rPr>
        <w:t>___</w:t>
      </w:r>
      <w:r w:rsidRPr="00D1197A">
        <w:rPr>
          <w:rFonts w:ascii="TimesNewRomanPSMT" w:hAnsi="TimesNewRomanPSMT"/>
          <w:sz w:val="22"/>
          <w:szCs w:val="22"/>
        </w:rPr>
        <w:t xml:space="preserve">, un 90%, a salvo de que por la disponibilidad presupuestaria pueda alcanzarse el 100% sin afectar a la estabilidad presupuestaria </w:t>
      </w:r>
    </w:p>
    <w:p w:rsidR="00013F67" w:rsidRDefault="00013F67" w:rsidP="00013F67">
      <w:pPr>
        <w:pStyle w:val="NormalWeb"/>
        <w:spacing w:before="120" w:beforeAutospacing="0" w:after="120" w:afterAutospacing="0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>e) A partir del 1 de enero de 2</w:t>
      </w:r>
      <w:bookmarkStart w:id="0" w:name="_GoBack"/>
      <w:bookmarkEnd w:id="0"/>
      <w:r w:rsidRPr="00D1197A">
        <w:rPr>
          <w:rFonts w:ascii="TimesNewRomanPSMT" w:hAnsi="TimesNewRomanPSMT"/>
          <w:sz w:val="22"/>
          <w:szCs w:val="22"/>
        </w:rPr>
        <w:t>0</w:t>
      </w:r>
      <w:r>
        <w:rPr>
          <w:rFonts w:ascii="TimesNewRomanPSMT" w:hAnsi="TimesNewRomanPSMT"/>
          <w:sz w:val="22"/>
          <w:szCs w:val="22"/>
        </w:rPr>
        <w:t>___</w:t>
      </w:r>
      <w:r w:rsidRPr="00D1197A">
        <w:rPr>
          <w:rFonts w:ascii="TimesNewRomanPSMT" w:hAnsi="TimesNewRomanPSMT"/>
          <w:sz w:val="22"/>
          <w:szCs w:val="22"/>
        </w:rPr>
        <w:t>, el restante hasta alcanzar el 100 % del total del complemento reconocido.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3. En todo caso, al personal que acceda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jubilación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ordinaria se le garantizara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percepción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100% del GDP reconocido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natural anterior al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jubilación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el 50%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penúltimo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3A2159" w:rsidRDefault="003A2159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8C78A6" w:rsidRDefault="008C78A6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</w:p>
    <w:p w:rsidR="00013F67" w:rsidRPr="00ED75DA" w:rsidRDefault="00013F67" w:rsidP="00013F67">
      <w:pPr>
        <w:pStyle w:val="NormalWeb"/>
        <w:rPr>
          <w:b/>
          <w:i/>
          <w:sz w:val="22"/>
          <w:szCs w:val="22"/>
        </w:rPr>
      </w:pP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Transitoria Sexta.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Disminución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proporcional del complemento por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evaluación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 del </w:t>
      </w:r>
      <w:proofErr w:type="spellStart"/>
      <w:r w:rsidRPr="00ED75DA">
        <w:rPr>
          <w:rFonts w:ascii="TimesNewRomanPSMT" w:hAnsi="TimesNewRomanPSMT"/>
          <w:b/>
          <w:i/>
          <w:sz w:val="22"/>
          <w:szCs w:val="22"/>
        </w:rPr>
        <w:t>desempeño</w:t>
      </w:r>
      <w:proofErr w:type="spellEnd"/>
      <w:r w:rsidRPr="00ED75DA">
        <w:rPr>
          <w:rFonts w:ascii="TimesNewRomanPSMT" w:hAnsi="TimesNewRomanPSMT"/>
          <w:b/>
          <w:i/>
          <w:sz w:val="22"/>
          <w:szCs w:val="22"/>
        </w:rPr>
        <w:t xml:space="preserve">. 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1. El importe que se abona correspondiente 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evaluación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desempeño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reducira</w:t>
      </w:r>
      <w:proofErr w:type="spellEnd"/>
      <w:r w:rsidRPr="00D1197A">
        <w:rPr>
          <w:rFonts w:ascii="TimesNewRomanPSMT" w:hAnsi="TimesNewRomanPSMT"/>
          <w:sz w:val="22"/>
          <w:szCs w:val="22"/>
        </w:rPr>
        <w:t>́ en el mismo porcentaje que se incremente la carrera profesional.</w:t>
      </w:r>
    </w:p>
    <w:p w:rsidR="00013F67" w:rsidRPr="00D1197A" w:rsidRDefault="00013F67" w:rsidP="00013F67">
      <w:pPr>
        <w:pStyle w:val="NormalWeb"/>
        <w:rPr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2. El personal que a la fecha de entrada en vigor del presente acuerdo no pueda acceder a ninguno de los GDP distintos al de acceso, no verá reducido porcentaje alguno por tal concepto, hasta en tanto acceda al GDP I. </w:t>
      </w:r>
    </w:p>
    <w:p w:rsidR="00013F67" w:rsidRDefault="00013F67" w:rsidP="00013F67">
      <w:pPr>
        <w:pStyle w:val="NormalWeb"/>
        <w:rPr>
          <w:rFonts w:ascii="TimesNewRomanPSMT" w:hAnsi="TimesNewRomanPSMT"/>
          <w:b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</w:t>
      </w:r>
      <w:r w:rsidRPr="00D1197A">
        <w:rPr>
          <w:rFonts w:ascii="TimesNewRomanPSMT" w:hAnsi="TimesNewRomanPSMT"/>
          <w:sz w:val="22"/>
          <w:szCs w:val="22"/>
        </w:rPr>
        <w:t>. En todo caso, una vez alcanzado el 100% del complemento reconocido, o en su defecto con fecha 31 de diciembre de 20</w:t>
      </w:r>
      <w:r w:rsidR="008C78A6">
        <w:rPr>
          <w:rFonts w:ascii="TimesNewRomanPSMT" w:hAnsi="TimesNewRomanPSMT"/>
          <w:sz w:val="22"/>
          <w:szCs w:val="22"/>
        </w:rPr>
        <w:t>___</w:t>
      </w:r>
      <w:r w:rsidRPr="00D1197A">
        <w:rPr>
          <w:rFonts w:ascii="TimesNewRomanPSMT" w:hAnsi="TimesNewRomanPSMT"/>
          <w:sz w:val="22"/>
          <w:szCs w:val="22"/>
        </w:rPr>
        <w:t>, quedará derogado el Reglamento de Productividades</w:t>
      </w:r>
      <w:r w:rsidR="00F3376A">
        <w:rPr>
          <w:rFonts w:ascii="TimesNewRomanPSMT" w:hAnsi="TimesNewRomanPSMT"/>
          <w:sz w:val="22"/>
          <w:szCs w:val="22"/>
        </w:rPr>
        <w:t>.</w:t>
      </w:r>
    </w:p>
    <w:p w:rsidR="008C78A6" w:rsidRDefault="008C78A6" w:rsidP="00013F67">
      <w:pPr>
        <w:pStyle w:val="NormalWeb"/>
        <w:rPr>
          <w:rFonts w:ascii="TimesNewRomanPSMT" w:hAnsi="TimesNewRomanPSMT"/>
          <w:b/>
          <w:sz w:val="22"/>
          <w:szCs w:val="22"/>
        </w:rPr>
      </w:pPr>
    </w:p>
    <w:p w:rsidR="00013F67" w:rsidRPr="00ED75DA" w:rsidRDefault="00013F67" w:rsidP="00013F67">
      <w:pPr>
        <w:pStyle w:val="NormalWeb"/>
        <w:rPr>
          <w:rFonts w:ascii="TimesNewRomanPSMT" w:hAnsi="TimesNewRomanPSMT"/>
          <w:b/>
          <w:sz w:val="22"/>
          <w:szCs w:val="22"/>
        </w:rPr>
      </w:pPr>
      <w:r w:rsidRPr="00ED75DA">
        <w:rPr>
          <w:rFonts w:ascii="TimesNewRomanPSMT" w:hAnsi="TimesNewRomanPSMT"/>
          <w:b/>
          <w:sz w:val="22"/>
          <w:szCs w:val="22"/>
        </w:rPr>
        <w:t>DISPOSICIONES FINALES</w:t>
      </w:r>
    </w:p>
    <w:p w:rsidR="00013F67" w:rsidRPr="000B48C9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Final Primera. Desarrollo del presente acuerdo.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El Ayuntamiento de </w:t>
      </w:r>
      <w:r>
        <w:rPr>
          <w:rFonts w:ascii="TimesNewRomanPSMT" w:hAnsi="TimesNewRomanPSMT"/>
          <w:sz w:val="22"/>
          <w:szCs w:val="22"/>
        </w:rPr>
        <w:t xml:space="preserve">___________ </w:t>
      </w:r>
      <w:r w:rsidRPr="00D1197A">
        <w:rPr>
          <w:rFonts w:ascii="TimesNewRomanPSMT" w:hAnsi="TimesNewRomanPSMT"/>
          <w:sz w:val="22"/>
          <w:szCs w:val="22"/>
        </w:rPr>
        <w:t xml:space="preserve">regulará, previa </w:t>
      </w:r>
      <w:proofErr w:type="spellStart"/>
      <w:r w:rsidRPr="00D1197A">
        <w:rPr>
          <w:rFonts w:ascii="TimesNewRomanPSMT" w:hAnsi="TimesNewRomanPSMT"/>
          <w:sz w:val="22"/>
          <w:szCs w:val="22"/>
        </w:rPr>
        <w:t>negociación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con las representaciones sindicales, los aspectos de </w:t>
      </w:r>
      <w:proofErr w:type="spellStart"/>
      <w:r w:rsidRPr="00D1197A">
        <w:rPr>
          <w:rFonts w:ascii="TimesNewRomanPSMT" w:hAnsi="TimesNewRomanPSMT"/>
          <w:sz w:val="22"/>
          <w:szCs w:val="22"/>
        </w:rPr>
        <w:t>carácter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técnico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procedimientos previstos en este acuerdo, </w:t>
      </w:r>
      <w:proofErr w:type="spellStart"/>
      <w:r w:rsidRPr="00D1197A">
        <w:rPr>
          <w:rFonts w:ascii="TimesNewRomanPSMT" w:hAnsi="TimesNewRomanPSMT"/>
          <w:sz w:val="22"/>
          <w:szCs w:val="22"/>
        </w:rPr>
        <w:t>asi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cuantas disposiciones requiera el desarrollo y </w:t>
      </w:r>
      <w:proofErr w:type="spellStart"/>
      <w:r w:rsidRPr="00D1197A">
        <w:rPr>
          <w:rFonts w:ascii="TimesNewRomanPSMT" w:hAnsi="TimesNewRomanPSMT"/>
          <w:sz w:val="22"/>
          <w:szCs w:val="22"/>
        </w:rPr>
        <w:t>ejecución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mismo, incluida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adaptación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los plazos para la correcta </w:t>
      </w:r>
      <w:proofErr w:type="spellStart"/>
      <w:r w:rsidRPr="00D1197A">
        <w:rPr>
          <w:rFonts w:ascii="TimesNewRomanPSMT" w:hAnsi="TimesNewRomanPSMT"/>
          <w:sz w:val="22"/>
          <w:szCs w:val="22"/>
        </w:rPr>
        <w:t>implementación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las medidas que se contemplan en el mismo.</w:t>
      </w:r>
    </w:p>
    <w:p w:rsidR="00013F67" w:rsidRPr="000B48C9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Final Segunda. </w:t>
      </w: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Actualización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</w:t>
      </w: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cuantías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GDP.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Las </w:t>
      </w:r>
      <w:proofErr w:type="spellStart"/>
      <w:r w:rsidRPr="00D1197A">
        <w:rPr>
          <w:rFonts w:ascii="TimesNewRomanPSMT" w:hAnsi="TimesNewRomanPSMT"/>
          <w:sz w:val="22"/>
          <w:szCs w:val="22"/>
        </w:rPr>
        <w:t>cuantías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previstas en el Anexo I del presente acuerdo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actualizarán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D1197A">
        <w:rPr>
          <w:rFonts w:ascii="TimesNewRomanPSMT" w:hAnsi="TimesNewRomanPSMT"/>
          <w:sz w:val="22"/>
          <w:szCs w:val="22"/>
        </w:rPr>
        <w:t>periódicamente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la misma </w:t>
      </w:r>
      <w:proofErr w:type="spellStart"/>
      <w:r w:rsidRPr="00D1197A">
        <w:rPr>
          <w:rFonts w:ascii="TimesNewRomanPSMT" w:hAnsi="TimesNewRomanPSMT"/>
          <w:sz w:val="22"/>
          <w:szCs w:val="22"/>
        </w:rPr>
        <w:t>proporción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que la fijada para el conjunto de las retribuciones de los empleados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públicos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. </w:t>
      </w:r>
    </w:p>
    <w:p w:rsidR="00013F67" w:rsidRPr="000B48C9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Final Tercera. Desarrollo </w:t>
      </w: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desempeño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efectivo de las tareas asignadas.</w:t>
      </w:r>
    </w:p>
    <w:p w:rsidR="00013F67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En el plazo de un </w:t>
      </w:r>
      <w:proofErr w:type="spellStart"/>
      <w:r w:rsidRPr="00D1197A">
        <w:rPr>
          <w:rFonts w:ascii="TimesNewRomanPSMT" w:hAnsi="TimesNewRomanPSMT"/>
          <w:sz w:val="22"/>
          <w:szCs w:val="22"/>
        </w:rPr>
        <w:t>año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desde la entrada en vigor de este acuerdo se acordará por la </w:t>
      </w:r>
      <w:proofErr w:type="spellStart"/>
      <w:r w:rsidRPr="00D1197A">
        <w:rPr>
          <w:rFonts w:ascii="TimesNewRomanPSMT" w:hAnsi="TimesNewRomanPSMT"/>
          <w:sz w:val="22"/>
          <w:szCs w:val="22"/>
        </w:rPr>
        <w:t>Comisión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de Seguimiento de la Carrera Profesional Horizontal el modo de desarrollo del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desempeño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efectivo de las tareas asignadas contemplado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artículo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21.</w:t>
      </w:r>
    </w:p>
    <w:p w:rsidR="00013F67" w:rsidRPr="000B48C9" w:rsidRDefault="00013F67" w:rsidP="00013F67">
      <w:pPr>
        <w:pStyle w:val="NormalWeb"/>
        <w:rPr>
          <w:rFonts w:ascii="TimesNewRomanPSMT" w:hAnsi="TimesNewRomanPSMT"/>
          <w:b/>
          <w:i/>
          <w:sz w:val="22"/>
          <w:szCs w:val="22"/>
        </w:rPr>
      </w:pPr>
      <w:proofErr w:type="spellStart"/>
      <w:r w:rsidRPr="000B48C9">
        <w:rPr>
          <w:rFonts w:ascii="TimesNewRomanPSMT" w:hAnsi="TimesNewRomanPSMT"/>
          <w:b/>
          <w:i/>
          <w:sz w:val="22"/>
          <w:szCs w:val="22"/>
        </w:rPr>
        <w:t>Disposición</w:t>
      </w:r>
      <w:proofErr w:type="spellEnd"/>
      <w:r w:rsidRPr="000B48C9">
        <w:rPr>
          <w:rFonts w:ascii="TimesNewRomanPSMT" w:hAnsi="TimesNewRomanPSMT"/>
          <w:b/>
          <w:i/>
          <w:sz w:val="22"/>
          <w:szCs w:val="22"/>
        </w:rPr>
        <w:t xml:space="preserve"> Final Cuarta. Entrada en vigor.</w:t>
      </w:r>
    </w:p>
    <w:p w:rsidR="00013F67" w:rsidRPr="00D1197A" w:rsidRDefault="00013F67" w:rsidP="00013F67">
      <w:pPr>
        <w:pStyle w:val="NormalWeb"/>
        <w:rPr>
          <w:rFonts w:ascii="TimesNewRomanPSMT" w:hAnsi="TimesNewRomanPSMT"/>
          <w:sz w:val="22"/>
          <w:szCs w:val="22"/>
        </w:rPr>
      </w:pPr>
      <w:r w:rsidRPr="00D1197A">
        <w:rPr>
          <w:rFonts w:ascii="TimesNewRomanPSMT" w:hAnsi="TimesNewRomanPSMT"/>
          <w:sz w:val="22"/>
          <w:szCs w:val="22"/>
        </w:rPr>
        <w:t xml:space="preserve">El presente acuerdo, que se </w:t>
      </w:r>
      <w:proofErr w:type="spellStart"/>
      <w:r w:rsidRPr="00D1197A">
        <w:rPr>
          <w:rFonts w:ascii="TimesNewRomanPSMT" w:hAnsi="TimesNewRomanPSMT"/>
          <w:sz w:val="22"/>
          <w:szCs w:val="22"/>
        </w:rPr>
        <w:t>incluira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́ como anexo al Convenio Colectivo y Normas Reguladoras, entrará en vigor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día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siguiente de su </w:t>
      </w:r>
      <w:proofErr w:type="spellStart"/>
      <w:r w:rsidRPr="00D1197A">
        <w:rPr>
          <w:rFonts w:ascii="TimesNewRomanPSMT" w:hAnsi="TimesNewRomanPSMT"/>
          <w:sz w:val="22"/>
          <w:szCs w:val="22"/>
        </w:rPr>
        <w:t>publicación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en el </w:t>
      </w:r>
      <w:proofErr w:type="spellStart"/>
      <w:r w:rsidRPr="00D1197A">
        <w:rPr>
          <w:rFonts w:ascii="TimesNewRomanPSMT" w:hAnsi="TimesNewRomanPSMT"/>
          <w:sz w:val="22"/>
          <w:szCs w:val="22"/>
        </w:rPr>
        <w:t>Boletín</w:t>
      </w:r>
      <w:proofErr w:type="spellEnd"/>
      <w:r w:rsidRPr="00D1197A">
        <w:rPr>
          <w:rFonts w:ascii="TimesNewRomanPSMT" w:hAnsi="TimesNewRomanPSMT"/>
          <w:sz w:val="22"/>
          <w:szCs w:val="22"/>
        </w:rPr>
        <w:t xml:space="preserve"> Oficial de la Provincia de Valencia. </w:t>
      </w:r>
    </w:p>
    <w:p w:rsidR="003A2159" w:rsidRDefault="003A2159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8C78A6" w:rsidRDefault="008C78A6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8C78A6" w:rsidRDefault="008C78A6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8C78A6" w:rsidRDefault="008C78A6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3A2159" w:rsidRDefault="003A2159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013F67" w:rsidRPr="000B48C9" w:rsidRDefault="00013F67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  <w:r w:rsidRPr="00D713F4"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  <w:t>ANEXO I</w:t>
      </w:r>
      <w:r w:rsidRPr="00D713F4"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  <w:br/>
        <w:t>CUANTÍA ANUAL COMPLEMENTO DE CARRERA PROFESIONAL</w:t>
      </w:r>
    </w:p>
    <w:p w:rsidR="00013F67" w:rsidRPr="00D713F4" w:rsidRDefault="00013F67" w:rsidP="00013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br/>
        <w:t xml:space="preserve">La </w:t>
      </w:r>
      <w:proofErr w:type="spellStart"/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t>cuantía</w:t>
      </w:r>
      <w:proofErr w:type="spellEnd"/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t xml:space="preserve">, en </w:t>
      </w:r>
      <w:proofErr w:type="spellStart"/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t>cómputo</w:t>
      </w:r>
      <w:proofErr w:type="spellEnd"/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t xml:space="preserve"> anual, del complemento de carrera para el personal de los distintos Grupos y Subgrupos Profesionales </w:t>
      </w:r>
      <w:proofErr w:type="spellStart"/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t>sera</w:t>
      </w:r>
      <w:proofErr w:type="spellEnd"/>
      <w:r w:rsidRPr="00D713F4">
        <w:rPr>
          <w:rFonts w:ascii="Times" w:eastAsia="Times New Roman" w:hAnsi="Times" w:cs="Times New Roman"/>
          <w:sz w:val="22"/>
          <w:szCs w:val="22"/>
          <w:lang w:val="es-ES" w:eastAsia="es-ES_tradnl"/>
        </w:rPr>
        <w:t xml:space="preserve">́ la siguiente para cada uno de los grados de desarrollo profesional: </w:t>
      </w:r>
    </w:p>
    <w:p w:rsidR="00013F67" w:rsidRPr="00D713F4" w:rsidRDefault="00013F67" w:rsidP="00013F67">
      <w:pPr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984"/>
        <w:gridCol w:w="2410"/>
      </w:tblGrid>
      <w:tr w:rsidR="00013F67" w:rsidRPr="00D713F4" w:rsidTr="006F02C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b/>
                <w:sz w:val="22"/>
                <w:szCs w:val="22"/>
                <w:lang w:val="es-ES" w:eastAsia="es-ES_tradnl"/>
              </w:rPr>
              <w:t>GRUPO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b/>
                <w:sz w:val="22"/>
                <w:szCs w:val="22"/>
                <w:lang w:val="es-ES" w:eastAsia="es-ES_tradnl"/>
              </w:rPr>
              <w:t>GRADO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b/>
                <w:sz w:val="22"/>
                <w:szCs w:val="22"/>
                <w:lang w:val="es-ES" w:eastAsia="es-ES_tradnl"/>
              </w:rPr>
              <w:t>GRADO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b/>
                <w:sz w:val="22"/>
                <w:szCs w:val="22"/>
                <w:lang w:val="es-ES" w:eastAsia="es-ES_tradnl"/>
              </w:rPr>
              <w:t>GRADO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b/>
                <w:sz w:val="22"/>
                <w:szCs w:val="22"/>
                <w:lang w:val="es-ES" w:eastAsia="es-ES_tradnl"/>
              </w:rPr>
              <w:t>GRADO IV</w:t>
            </w:r>
          </w:p>
        </w:tc>
      </w:tr>
      <w:tr w:rsidR="00013F67" w:rsidRPr="00D713F4" w:rsidTr="006F02C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2250€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4500€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6750 €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9000 €</w:t>
            </w:r>
          </w:p>
        </w:tc>
      </w:tr>
      <w:tr w:rsidR="00013F67" w:rsidRPr="00D713F4" w:rsidTr="006F02C7"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A2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1950 €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3900 €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5850 €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7800 €</w:t>
            </w:r>
          </w:p>
        </w:tc>
      </w:tr>
      <w:tr w:rsidR="00013F67" w:rsidRPr="00D713F4" w:rsidTr="006F02C7"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1650 €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3300 €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4950 €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6600 €</w:t>
            </w:r>
          </w:p>
        </w:tc>
      </w:tr>
      <w:tr w:rsidR="00013F67" w:rsidRPr="00D713F4" w:rsidTr="006F02C7"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C1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1350€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2700 €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4050 €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5400 €</w:t>
            </w:r>
          </w:p>
        </w:tc>
      </w:tr>
      <w:tr w:rsidR="00013F67" w:rsidRPr="00D713F4" w:rsidTr="006F02C7"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C2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1050€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2100€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3150 €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4200 €</w:t>
            </w:r>
          </w:p>
        </w:tc>
      </w:tr>
      <w:tr w:rsidR="00013F67" w:rsidRPr="00D713F4" w:rsidTr="006F02C7"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AA.PP.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750 €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1500 €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2250 €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67" w:rsidRPr="00D713F4" w:rsidRDefault="00013F67" w:rsidP="006F02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D713F4">
              <w:rPr>
                <w:rFonts w:ascii="Times" w:eastAsia="Times New Roman" w:hAnsi="Times" w:cs="Times New Roman"/>
                <w:sz w:val="22"/>
                <w:szCs w:val="22"/>
                <w:lang w:val="es-ES" w:eastAsia="es-ES_tradnl"/>
              </w:rPr>
              <w:t>3000 €</w:t>
            </w:r>
          </w:p>
        </w:tc>
      </w:tr>
    </w:tbl>
    <w:p w:rsidR="00013F67" w:rsidRDefault="00013F67" w:rsidP="00013F6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</w:pPr>
    </w:p>
    <w:p w:rsidR="00013F67" w:rsidRPr="00D713F4" w:rsidRDefault="00013F67" w:rsidP="00013F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es-ES_tradnl"/>
        </w:rPr>
      </w:pPr>
      <w:r w:rsidRPr="00D713F4"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  <w:t>ANEXO II</w:t>
      </w:r>
      <w:r w:rsidRPr="00D713F4">
        <w:rPr>
          <w:rFonts w:ascii="Times" w:eastAsia="Times New Roman" w:hAnsi="Times" w:cs="Times New Roman"/>
          <w:b/>
          <w:sz w:val="22"/>
          <w:szCs w:val="22"/>
          <w:lang w:val="es-ES" w:eastAsia="es-ES_tradnl"/>
        </w:rPr>
        <w:br/>
        <w:t>BAREMO ACCESO A GRADOS DE DESARROLLO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1696"/>
      </w:tblGrid>
      <w:tr w:rsidR="00013F67" w:rsidRPr="00D713F4" w:rsidTr="006F02C7">
        <w:trPr>
          <w:trHeight w:val="549"/>
        </w:trPr>
        <w:tc>
          <w:tcPr>
            <w:tcW w:w="3681" w:type="dxa"/>
            <w:tcBorders>
              <w:top w:val="nil"/>
              <w:left w:val="nil"/>
              <w:right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bottom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D713F4">
              <w:rPr>
                <w:b/>
                <w:sz w:val="20"/>
                <w:szCs w:val="20"/>
              </w:rPr>
              <w:t xml:space="preserve">                                                         Orientación y compromiso con el servicio público</w:t>
            </w: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Logro de objetivos fijados por departamentos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top w:val="nil"/>
              <w:bottom w:val="single" w:sz="4" w:space="0" w:color="auto"/>
            </w:tcBorders>
            <w:vAlign w:val="center"/>
          </w:tcPr>
          <w:p w:rsidR="00013F67" w:rsidRPr="00D713F4" w:rsidRDefault="00013F67" w:rsidP="006F02C7">
            <w:pPr>
              <w:pStyle w:val="NormalWeb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Implicación personal. Objetivos individuales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bottom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D713F4">
              <w:rPr>
                <w:b/>
                <w:sz w:val="20"/>
                <w:szCs w:val="20"/>
              </w:rPr>
              <w:t xml:space="preserve">                                                  Profesionalidad en el ejercicio de las funciones asignadas</w:t>
            </w: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 en el desempeño de las tareas asignadas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top w:val="nil"/>
              <w:bottom w:val="single" w:sz="4" w:space="0" w:color="auto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Desempeño efectivo de las tareas asignadas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bottom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D713F4">
              <w:rPr>
                <w:b/>
                <w:sz w:val="20"/>
                <w:szCs w:val="20"/>
              </w:rPr>
              <w:t xml:space="preserve">                                                              Iniciativa y participación para la mejora del servicio público</w:t>
            </w: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en grupos de trabajo para la mejora de los servicios públicos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top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 prestación servicios públicos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D713F4">
              <w:rPr>
                <w:b/>
                <w:sz w:val="20"/>
                <w:szCs w:val="20"/>
              </w:rPr>
              <w:t>Desarrollo de conocimientos</w:t>
            </w: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recibida relacionada con la práctica profesional en la Administración Local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D713F4">
              <w:rPr>
                <w:b/>
                <w:sz w:val="20"/>
                <w:szCs w:val="20"/>
              </w:rPr>
              <w:t>Transferencia de conocimientos</w:t>
            </w: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impartida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bottom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D713F4">
              <w:rPr>
                <w:b/>
                <w:sz w:val="20"/>
                <w:szCs w:val="20"/>
              </w:rPr>
              <w:t xml:space="preserve">                                                              Calidad de relaciones Humanas</w:t>
            </w: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de superiores a subordinados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  <w:tr w:rsidR="00013F67" w:rsidRPr="00D713F4" w:rsidTr="006F02C7">
        <w:trPr>
          <w:trHeight w:val="549"/>
        </w:trPr>
        <w:tc>
          <w:tcPr>
            <w:tcW w:w="3681" w:type="dxa"/>
            <w:tcBorders>
              <w:top w:val="nil"/>
            </w:tcBorders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3F67" w:rsidRPr="00D713F4" w:rsidRDefault="00013F67" w:rsidP="006F02C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de subordinados a superiores</w:t>
            </w:r>
          </w:p>
        </w:tc>
        <w:tc>
          <w:tcPr>
            <w:tcW w:w="1696" w:type="dxa"/>
            <w:vAlign w:val="center"/>
          </w:tcPr>
          <w:p w:rsidR="00013F67" w:rsidRPr="00D713F4" w:rsidRDefault="00013F67" w:rsidP="006F02C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puntos</w:t>
            </w:r>
          </w:p>
        </w:tc>
      </w:tr>
    </w:tbl>
    <w:p w:rsidR="00013F67" w:rsidRDefault="00013F67" w:rsidP="00013F67"/>
    <w:sectPr w:rsidR="00013F67" w:rsidSect="00013F67">
      <w:headerReference w:type="default" r:id="rId7"/>
      <w:pgSz w:w="11900" w:h="16840"/>
      <w:pgMar w:top="787" w:right="1127" w:bottom="73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9B" w:rsidRDefault="0009189B" w:rsidP="00694972">
      <w:r>
        <w:separator/>
      </w:r>
    </w:p>
  </w:endnote>
  <w:endnote w:type="continuationSeparator" w:id="0">
    <w:p w:rsidR="0009189B" w:rsidRDefault="0009189B" w:rsidP="006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9B" w:rsidRDefault="0009189B" w:rsidP="00694972">
      <w:r>
        <w:separator/>
      </w:r>
    </w:p>
  </w:footnote>
  <w:footnote w:type="continuationSeparator" w:id="0">
    <w:p w:rsidR="0009189B" w:rsidRDefault="0009189B" w:rsidP="0069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72" w:rsidRDefault="0069497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B03388" wp14:editId="7CB5C2FE">
          <wp:simplePos x="0" y="0"/>
          <wp:positionH relativeFrom="column">
            <wp:posOffset>6350</wp:posOffset>
          </wp:positionH>
          <wp:positionV relativeFrom="paragraph">
            <wp:posOffset>-233680</wp:posOffset>
          </wp:positionV>
          <wp:extent cx="1485900" cy="774700"/>
          <wp:effectExtent l="0" t="0" r="0" b="0"/>
          <wp:wrapNone/>
          <wp:docPr id="1" name="Imagen 38" descr="LOGO-INTERSINDICAL-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LOGO-INTERSINDICAL-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4209"/>
    <w:multiLevelType w:val="hybridMultilevel"/>
    <w:tmpl w:val="0C0C8D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7"/>
    <w:rsid w:val="00013F67"/>
    <w:rsid w:val="00063B58"/>
    <w:rsid w:val="00080403"/>
    <w:rsid w:val="0009189B"/>
    <w:rsid w:val="000A5A28"/>
    <w:rsid w:val="00180292"/>
    <w:rsid w:val="00351E73"/>
    <w:rsid w:val="00380514"/>
    <w:rsid w:val="003A2159"/>
    <w:rsid w:val="004119C2"/>
    <w:rsid w:val="004E7048"/>
    <w:rsid w:val="00553F00"/>
    <w:rsid w:val="00590B56"/>
    <w:rsid w:val="00694972"/>
    <w:rsid w:val="006D24A9"/>
    <w:rsid w:val="007314D0"/>
    <w:rsid w:val="007C7709"/>
    <w:rsid w:val="008809DA"/>
    <w:rsid w:val="008A18F3"/>
    <w:rsid w:val="008C78A6"/>
    <w:rsid w:val="00A600EB"/>
    <w:rsid w:val="00AE026B"/>
    <w:rsid w:val="00B24216"/>
    <w:rsid w:val="00F3376A"/>
    <w:rsid w:val="00F640AF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7095"/>
  <w14:defaultImageDpi w14:val="32767"/>
  <w15:chartTrackingRefBased/>
  <w15:docId w15:val="{7D789F6B-2223-6E4B-AAEE-0352F58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3F6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01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4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97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949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72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D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7014</Words>
  <Characters>38583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Llinares</dc:creator>
  <cp:keywords/>
  <dc:description/>
  <cp:lastModifiedBy>Elisa Llinares</cp:lastModifiedBy>
  <cp:revision>7</cp:revision>
  <dcterms:created xsi:type="dcterms:W3CDTF">2019-04-08T12:32:00Z</dcterms:created>
  <dcterms:modified xsi:type="dcterms:W3CDTF">2019-05-19T10:13:00Z</dcterms:modified>
</cp:coreProperties>
</file>